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山东省城市服务技师学院</w:t>
      </w:r>
    </w:p>
    <w:p>
      <w:pPr>
        <w:spacing w:line="300" w:lineRule="auto"/>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 xml:space="preserve"> 校方责任保险采购项目</w:t>
      </w:r>
      <w:r>
        <w:rPr>
          <w:rFonts w:hint="eastAsia" w:ascii="黑体" w:hAnsi="黑体" w:eastAsia="黑体" w:cs="黑体"/>
          <w:color w:val="auto"/>
          <w:sz w:val="44"/>
          <w:szCs w:val="44"/>
          <w:highlight w:val="none"/>
          <w:lang w:val="en-US" w:eastAsia="zh-CN"/>
        </w:rPr>
        <w:t>(三次）</w:t>
      </w:r>
      <w:r>
        <w:rPr>
          <w:rFonts w:hint="eastAsia" w:ascii="黑体" w:hAnsi="黑体" w:eastAsia="黑体" w:cs="黑体"/>
          <w:color w:val="auto"/>
          <w:sz w:val="44"/>
          <w:szCs w:val="44"/>
          <w:highlight w:val="none"/>
        </w:rPr>
        <w:t>询价公告</w:t>
      </w:r>
    </w:p>
    <w:p>
      <w:pPr>
        <w:pStyle w:val="5"/>
        <w:widowControl/>
        <w:pBdr>
          <w:bottom w:val="single" w:color="E2E2E2" w:sz="6" w:space="0"/>
        </w:pBdr>
        <w:spacing w:before="0" w:beforeAutospacing="0" w:after="0" w:afterAutospacing="0" w:line="675" w:lineRule="atLeast"/>
        <w:ind w:firstLine="627" w:firstLineChars="196"/>
        <w:rPr>
          <w:rFonts w:hint="default" w:ascii="楷体" w:hAnsi="楷体" w:eastAsia="楷体" w:cs="楷体"/>
          <w:b w:val="0"/>
          <w:color w:val="auto"/>
          <w:sz w:val="32"/>
          <w:szCs w:val="32"/>
          <w:highlight w:val="none"/>
          <w:shd w:val="clear" w:color="auto" w:fill="FFFFFF"/>
        </w:rPr>
      </w:pPr>
      <w:r>
        <w:rPr>
          <w:rFonts w:ascii="楷体" w:hAnsi="楷体" w:eastAsia="楷体" w:cs="楷体"/>
          <w:b w:val="0"/>
          <w:color w:val="auto"/>
          <w:sz w:val="32"/>
          <w:szCs w:val="32"/>
          <w:highlight w:val="none"/>
        </w:rPr>
        <w:t>一、 采购内容</w:t>
      </w:r>
    </w:p>
    <w:p>
      <w:pPr>
        <w:pStyle w:val="12"/>
        <w:widowControl/>
        <w:spacing w:before="150" w:beforeAutospacing="0" w:after="150" w:afterAutospacing="0" w:line="585" w:lineRule="atLeast"/>
        <w:ind w:firstLine="645"/>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山东省城市服务技师学院校方责任保险采购项目(三次），</w:t>
      </w:r>
      <w:r>
        <w:rPr>
          <w:rFonts w:hint="eastAsia" w:ascii="仿宋" w:hAnsi="仿宋" w:eastAsia="仿宋" w:cs="仿宋"/>
          <w:color w:val="auto"/>
          <w:sz w:val="32"/>
          <w:szCs w:val="32"/>
          <w:highlight w:val="none"/>
          <w:shd w:val="clear" w:color="auto" w:fill="FFFFFF"/>
          <w:lang w:val="en-US" w:eastAsia="zh-CN"/>
        </w:rPr>
        <w:t>具体</w:t>
      </w:r>
      <w:r>
        <w:rPr>
          <w:rFonts w:hint="eastAsia" w:ascii="仿宋" w:hAnsi="仿宋" w:eastAsia="仿宋" w:cs="仿宋"/>
          <w:color w:val="auto"/>
          <w:sz w:val="32"/>
          <w:szCs w:val="32"/>
          <w:highlight w:val="none"/>
        </w:rPr>
        <w:t>要求详见附件。</w:t>
      </w:r>
    </w:p>
    <w:p>
      <w:pPr>
        <w:pStyle w:val="12"/>
        <w:widowControl/>
        <w:spacing w:before="150" w:beforeAutospacing="0" w:after="150" w:afterAutospacing="0" w:line="585" w:lineRule="atLeast"/>
        <w:ind w:firstLine="645"/>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二、投标人资格</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center"/>
        <w:rPr>
          <w:rFonts w:hint="eastAsia" w:ascii="仿宋" w:hAnsi="仿宋" w:eastAsia="仿宋" w:cs="仿宋"/>
          <w:color w:val="auto"/>
          <w:kern w:val="0"/>
          <w:sz w:val="32"/>
          <w:szCs w:val="32"/>
          <w:highlight w:val="none"/>
          <w:shd w:val="clear" w:color="auto" w:fill="FFFFFF"/>
          <w:lang w:val="en-US" w:eastAsia="zh-CN" w:bidi="ar-SA"/>
        </w:rPr>
      </w:pPr>
      <w:r>
        <w:rPr>
          <w:rFonts w:hint="eastAsia" w:ascii="仿宋" w:hAnsi="仿宋" w:eastAsia="仿宋" w:cs="仿宋"/>
          <w:color w:val="auto"/>
          <w:kern w:val="0"/>
          <w:sz w:val="32"/>
          <w:szCs w:val="32"/>
          <w:highlight w:val="none"/>
          <w:shd w:val="clear" w:color="auto" w:fill="FFFFFF"/>
          <w:lang w:val="en-US" w:eastAsia="zh-CN" w:bidi="ar-SA"/>
        </w:rPr>
        <w:t>(1)供应商须是在中华人民共和国境内合法注册，具有独立承担民事责任的财产保险公司或其市级及以上的分支公司或保险经纪公司，并持有工商行政管理部门核发的有效的企业营业执照;</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center"/>
        <w:rPr>
          <w:rFonts w:hint="eastAsia" w:ascii="仿宋" w:hAnsi="仿宋" w:eastAsia="仿宋" w:cs="仿宋"/>
          <w:color w:val="auto"/>
          <w:kern w:val="0"/>
          <w:sz w:val="32"/>
          <w:szCs w:val="32"/>
          <w:highlight w:val="none"/>
          <w:shd w:val="clear" w:color="auto" w:fill="FFFFFF"/>
          <w:lang w:val="en-US" w:eastAsia="zh-CN" w:bidi="ar-SA"/>
        </w:rPr>
      </w:pPr>
      <w:r>
        <w:rPr>
          <w:rFonts w:hint="eastAsia" w:ascii="仿宋" w:hAnsi="仿宋" w:eastAsia="仿宋" w:cs="仿宋"/>
          <w:color w:val="auto"/>
          <w:kern w:val="0"/>
          <w:sz w:val="32"/>
          <w:szCs w:val="32"/>
          <w:highlight w:val="none"/>
          <w:shd w:val="clear" w:color="auto" w:fill="FFFFFF"/>
          <w:lang w:val="en-US" w:eastAsia="zh-CN" w:bidi="ar-SA"/>
        </w:rPr>
        <w:t>(2)取得经营保险业务许可证或保险中介许可证;</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center"/>
        <w:rPr>
          <w:rFonts w:hint="eastAsia" w:ascii="仿宋" w:hAnsi="仿宋" w:eastAsia="仿宋" w:cs="仿宋"/>
          <w:color w:val="auto"/>
          <w:kern w:val="0"/>
          <w:sz w:val="32"/>
          <w:szCs w:val="32"/>
          <w:highlight w:val="none"/>
          <w:shd w:val="clear" w:color="auto" w:fill="FFFFFF"/>
          <w:lang w:val="en-US" w:eastAsia="zh-CN" w:bidi="ar-SA"/>
        </w:rPr>
      </w:pPr>
      <w:r>
        <w:rPr>
          <w:rFonts w:hint="eastAsia" w:ascii="仿宋" w:hAnsi="仿宋" w:eastAsia="仿宋" w:cs="仿宋"/>
          <w:color w:val="auto"/>
          <w:kern w:val="0"/>
          <w:sz w:val="32"/>
          <w:szCs w:val="32"/>
          <w:highlight w:val="none"/>
          <w:shd w:val="clear" w:color="auto" w:fill="FFFFFF"/>
          <w:lang w:val="en-US" w:eastAsia="zh-CN" w:bidi="ar-SA"/>
        </w:rPr>
        <w:t>(3)企业经营状况良好，资信状况优良;</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center"/>
        <w:rPr>
          <w:rFonts w:hint="eastAsia" w:ascii="仿宋" w:hAnsi="仿宋" w:eastAsia="仿宋" w:cs="仿宋"/>
          <w:color w:val="auto"/>
          <w:kern w:val="0"/>
          <w:sz w:val="32"/>
          <w:szCs w:val="32"/>
          <w:highlight w:val="none"/>
          <w:shd w:val="clear" w:color="auto" w:fill="FFFFFF"/>
          <w:lang w:val="en-US" w:eastAsia="zh-CN" w:bidi="ar-SA"/>
        </w:rPr>
      </w:pPr>
      <w:r>
        <w:rPr>
          <w:rFonts w:hint="eastAsia" w:ascii="仿宋" w:hAnsi="仿宋" w:eastAsia="仿宋" w:cs="仿宋"/>
          <w:color w:val="auto"/>
          <w:kern w:val="0"/>
          <w:sz w:val="32"/>
          <w:szCs w:val="32"/>
          <w:highlight w:val="none"/>
          <w:shd w:val="clear" w:color="auto" w:fill="FFFFFF"/>
          <w:lang w:val="en-US" w:eastAsia="zh-CN" w:bidi="ar-SA"/>
        </w:rPr>
        <w:t>(4)参加采购活动前3年内在经营活动中没有重大违法记录的书面声明；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center"/>
        <w:rPr>
          <w:rFonts w:hint="eastAsia" w:ascii="仿宋" w:hAnsi="仿宋" w:eastAsia="仿宋" w:cs="仿宋"/>
          <w:color w:val="auto"/>
          <w:kern w:val="0"/>
          <w:sz w:val="32"/>
          <w:szCs w:val="32"/>
          <w:highlight w:val="none"/>
          <w:shd w:val="clear" w:color="auto" w:fill="FFFFFF"/>
          <w:lang w:val="en-US" w:eastAsia="zh-CN" w:bidi="ar-SA"/>
        </w:rPr>
      </w:pPr>
      <w:r>
        <w:rPr>
          <w:rFonts w:hint="eastAsia" w:ascii="仿宋" w:hAnsi="仿宋" w:eastAsia="仿宋" w:cs="仿宋"/>
          <w:color w:val="auto"/>
          <w:kern w:val="0"/>
          <w:sz w:val="32"/>
          <w:szCs w:val="32"/>
          <w:highlight w:val="none"/>
          <w:shd w:val="clear" w:color="auto" w:fill="FFFFFF"/>
          <w:lang w:val="en-US" w:eastAsia="zh-CN" w:bidi="ar-SA"/>
        </w:rPr>
        <w:t>(5)本项目不允许联合体报价。</w:t>
      </w:r>
    </w:p>
    <w:p>
      <w:pPr>
        <w:pStyle w:val="12"/>
        <w:widowControl/>
        <w:spacing w:before="150" w:beforeAutospacing="0" w:after="150" w:afterAutospacing="0" w:line="585" w:lineRule="atLeast"/>
        <w:ind w:firstLine="645"/>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三、报价要求</w:t>
      </w:r>
    </w:p>
    <w:p>
      <w:pPr>
        <w:pStyle w:val="12"/>
        <w:widowControl/>
        <w:spacing w:before="150" w:beforeAutospacing="0" w:after="150" w:afterAutospacing="0" w:line="585" w:lineRule="atLeast"/>
        <w:ind w:firstLine="645"/>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 即日起至202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3</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lang w:val="en-US" w:eastAsia="zh-CN"/>
        </w:rPr>
        <w:t>20</w:t>
      </w:r>
      <w:r>
        <w:rPr>
          <w:rFonts w:hint="eastAsia" w:ascii="仿宋" w:hAnsi="仿宋" w:eastAsia="仿宋" w:cs="仿宋"/>
          <w:color w:val="auto"/>
          <w:sz w:val="32"/>
          <w:szCs w:val="32"/>
          <w:highlight w:val="none"/>
        </w:rPr>
        <w:t>日16时00分，每日上午8:00-11:30，下午2: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0-4:00到山东省城市服务技师学院后勤处（山东省烟台市高新区海天路1001号）提交报价文件（因疫情防控等原因，请提交报价前提前联系采购人，获得提交报价文件的最新方式）。联系人和联系电话：丛老师，18863891490；2246687。</w:t>
      </w:r>
    </w:p>
    <w:p>
      <w:pPr>
        <w:pStyle w:val="12"/>
        <w:widowControl/>
        <w:spacing w:before="150" w:beforeAutospacing="0" w:after="150" w:afterAutospacing="0" w:line="585" w:lineRule="atLeast"/>
        <w:ind w:firstLine="645"/>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 报价人须提供包含以下内容的加盖单位公章的报价资料一份：工商营业执照副本复印件、法定代表人身份证复印件、报价单、服务承诺（包括优惠条件承诺）、联系人及联系方式、投标人资格</w:t>
      </w:r>
      <w:r>
        <w:rPr>
          <w:rFonts w:hint="eastAsia" w:ascii="仿宋" w:hAnsi="仿宋" w:eastAsia="仿宋" w:cs="仿宋"/>
          <w:color w:val="auto"/>
          <w:sz w:val="32"/>
          <w:szCs w:val="32"/>
          <w:highlight w:val="none"/>
          <w:lang w:val="en-US" w:eastAsia="zh-CN"/>
        </w:rPr>
        <w:t>证明文件</w:t>
      </w:r>
      <w:r>
        <w:rPr>
          <w:rFonts w:hint="eastAsia" w:ascii="仿宋" w:hAnsi="仿宋" w:eastAsia="仿宋" w:cs="仿宋"/>
          <w:color w:val="auto"/>
          <w:sz w:val="32"/>
          <w:szCs w:val="32"/>
          <w:highlight w:val="none"/>
        </w:rPr>
        <w:t>等。上述资料装订成册，自行密封并在封面加盖单位公章，否则视为无效投标。所交资料因存档需要，采购人不予返还。</w:t>
      </w:r>
    </w:p>
    <w:p>
      <w:pPr>
        <w:pStyle w:val="7"/>
        <w:spacing w:line="360" w:lineRule="auto"/>
        <w:ind w:firstLine="627" w:firstLineChars="196"/>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sz w:val="32"/>
          <w:szCs w:val="32"/>
          <w:highlight w:val="none"/>
        </w:rPr>
        <w:t xml:space="preserve">3. </w:t>
      </w:r>
      <w:r>
        <w:rPr>
          <w:rFonts w:hint="eastAsia" w:ascii="仿宋" w:hAnsi="仿宋" w:eastAsia="仿宋" w:cs="仿宋"/>
          <w:color w:val="auto"/>
          <w:sz w:val="32"/>
          <w:szCs w:val="32"/>
          <w:highlight w:val="none"/>
          <w:lang w:val="en-US" w:eastAsia="zh-CN"/>
        </w:rPr>
        <w:t>本次报价为综合单价，</w:t>
      </w:r>
      <w:r>
        <w:rPr>
          <w:rFonts w:hint="eastAsia" w:ascii="仿宋" w:hAnsi="仿宋" w:eastAsia="仿宋" w:cs="仿宋"/>
          <w:color w:val="auto"/>
          <w:kern w:val="0"/>
          <w:sz w:val="32"/>
          <w:szCs w:val="32"/>
          <w:highlight w:val="none"/>
          <w:lang w:val="en-US" w:eastAsia="zh-CN" w:bidi="ar-SA"/>
        </w:rPr>
        <w:t>本项目供应商必须完成与本项目相关的保险服务工作，要求达到相关规范要求，应考虑到所有可能影响价格的因素，报价若有遗漏，均应免费提供。</w:t>
      </w:r>
    </w:p>
    <w:p>
      <w:pPr>
        <w:pStyle w:val="7"/>
        <w:spacing w:line="360" w:lineRule="auto"/>
        <w:ind w:firstLine="627" w:firstLineChars="196"/>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4.服务及验收标准：按照相关规定开展保险业务，严格执行国家和行业内容的标准、规范、维护国家、社会公共利益和服务主体的合法权益。</w:t>
      </w:r>
    </w:p>
    <w:p>
      <w:pPr>
        <w:pStyle w:val="12"/>
        <w:widowControl/>
        <w:spacing w:before="150" w:beforeAutospacing="0" w:after="150" w:afterAutospacing="0" w:line="585" w:lineRule="atLeast"/>
        <w:ind w:firstLine="645"/>
        <w:rPr>
          <w:rFonts w:ascii="楷体" w:hAnsi="楷体" w:eastAsia="楷体" w:cs="仿宋"/>
          <w:color w:val="auto"/>
          <w:sz w:val="32"/>
          <w:szCs w:val="32"/>
          <w:highlight w:val="none"/>
        </w:rPr>
      </w:pPr>
      <w:r>
        <w:rPr>
          <w:rFonts w:hint="eastAsia" w:ascii="楷体" w:hAnsi="楷体" w:eastAsia="楷体" w:cs="楷体"/>
          <w:color w:val="auto"/>
          <w:sz w:val="32"/>
          <w:szCs w:val="32"/>
          <w:highlight w:val="none"/>
        </w:rPr>
        <w:t>四、</w:t>
      </w:r>
      <w:r>
        <w:rPr>
          <w:rFonts w:hint="eastAsia" w:ascii="楷体" w:hAnsi="楷体" w:eastAsia="楷体" w:cs="仿宋"/>
          <w:color w:val="auto"/>
          <w:sz w:val="32"/>
          <w:szCs w:val="32"/>
          <w:highlight w:val="none"/>
        </w:rPr>
        <w:t>其他</w:t>
      </w:r>
      <w:r>
        <w:rPr>
          <w:rFonts w:ascii="楷体" w:hAnsi="楷体" w:eastAsia="楷体" w:cs="仿宋"/>
          <w:color w:val="auto"/>
          <w:sz w:val="32"/>
          <w:szCs w:val="32"/>
          <w:highlight w:val="none"/>
        </w:rPr>
        <w:t>要求</w:t>
      </w:r>
    </w:p>
    <w:p>
      <w:pPr>
        <w:pStyle w:val="12"/>
        <w:widowControl/>
        <w:spacing w:before="150" w:beforeAutospacing="0" w:after="150" w:afterAutospacing="0" w:line="585" w:lineRule="atLeas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采购人不组织统一考察现场，无论供应商对现场考察与否，都将被视为熟悉该项目的一切情况，并承担一切与报价有关的风险、责任和义务。</w:t>
      </w:r>
    </w:p>
    <w:p>
      <w:pPr>
        <w:pStyle w:val="12"/>
        <w:widowControl/>
        <w:spacing w:before="150" w:beforeAutospacing="0" w:after="150" w:afterAutospacing="0" w:line="585" w:lineRule="atLeast"/>
        <w:ind w:firstLine="640" w:firstLineChars="200"/>
        <w:rPr>
          <w:rFonts w:ascii="仿宋" w:hAnsi="仿宋" w:eastAsia="仿宋" w:cs="仿宋"/>
          <w:bCs/>
          <w:color w:val="auto"/>
          <w:sz w:val="32"/>
          <w:szCs w:val="32"/>
          <w:highlight w:val="none"/>
        </w:rPr>
      </w:pPr>
      <w:r>
        <w:rPr>
          <w:rFonts w:hint="eastAsia" w:ascii="仿宋" w:hAnsi="仿宋" w:eastAsia="仿宋" w:cs="仿宋"/>
          <w:color w:val="auto"/>
          <w:sz w:val="32"/>
          <w:szCs w:val="32"/>
          <w:highlight w:val="none"/>
        </w:rPr>
        <w:t>2.</w:t>
      </w:r>
      <w:r>
        <w:rPr>
          <w:rFonts w:hint="eastAsia"/>
          <w:color w:val="auto"/>
          <w:highlight w:val="none"/>
        </w:rPr>
        <w:t xml:space="preserve"> </w:t>
      </w:r>
      <w:r>
        <w:rPr>
          <w:rFonts w:hint="eastAsia" w:ascii="仿宋" w:hAnsi="仿宋" w:eastAsia="仿宋" w:cs="仿宋"/>
          <w:bCs/>
          <w:color w:val="auto"/>
          <w:sz w:val="32"/>
          <w:szCs w:val="32"/>
          <w:highlight w:val="none"/>
        </w:rPr>
        <w:t>采购人</w:t>
      </w:r>
      <w:r>
        <w:rPr>
          <w:rFonts w:ascii="仿宋" w:hAnsi="仿宋" w:eastAsia="仿宋" w:cs="仿宋"/>
          <w:bCs/>
          <w:color w:val="auto"/>
          <w:sz w:val="32"/>
          <w:szCs w:val="32"/>
          <w:highlight w:val="none"/>
        </w:rPr>
        <w:t>未设置最低</w:t>
      </w:r>
      <w:r>
        <w:rPr>
          <w:rFonts w:hint="eastAsia" w:ascii="仿宋" w:hAnsi="仿宋" w:eastAsia="仿宋" w:cs="仿宋"/>
          <w:bCs/>
          <w:color w:val="auto"/>
          <w:sz w:val="32"/>
          <w:szCs w:val="32"/>
          <w:highlight w:val="none"/>
        </w:rPr>
        <w:t>限价</w:t>
      </w:r>
      <w:r>
        <w:rPr>
          <w:rFonts w:ascii="仿宋" w:hAnsi="仿宋" w:eastAsia="仿宋" w:cs="仿宋"/>
          <w:bCs/>
          <w:color w:val="auto"/>
          <w:sz w:val="32"/>
          <w:szCs w:val="32"/>
          <w:highlight w:val="none"/>
        </w:rPr>
        <w:t>，</w:t>
      </w:r>
      <w:r>
        <w:rPr>
          <w:rFonts w:hint="eastAsia" w:ascii="仿宋" w:hAnsi="仿宋" w:eastAsia="仿宋" w:cs="仿宋"/>
          <w:bCs/>
          <w:color w:val="auto"/>
          <w:sz w:val="32"/>
          <w:szCs w:val="32"/>
          <w:highlight w:val="none"/>
        </w:rPr>
        <w:t>但投标人报价不得明显低于其他通过符合性审查投标人的报价，也不允许低于成本价报价。否则，采购人将认为其报价有可能影响产品质量、服务质量或不能诚信履约。投标人现场不能对其低报价做出合理解释的，采购人可根据《政府采购货物和服务招标投标管理办法》（财政部87号令）等法律法规认定为无效报价。</w:t>
      </w:r>
    </w:p>
    <w:p>
      <w:pPr>
        <w:pStyle w:val="12"/>
        <w:widowControl/>
        <w:spacing w:before="150" w:beforeAutospacing="0" w:after="150" w:afterAutospacing="0" w:line="585" w:lineRule="atLeast"/>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3.中标人因自身原因放弃中标人资格，将不允许再次参与该项目，一年内不允许参与采购人其他项目。</w:t>
      </w:r>
    </w:p>
    <w:p>
      <w:pPr>
        <w:pStyle w:val="12"/>
        <w:widowControl/>
        <w:spacing w:before="150" w:beforeAutospacing="0" w:after="150" w:afterAutospacing="0" w:line="585" w:lineRule="atLeast"/>
        <w:ind w:firstLine="640" w:firstLineChars="200"/>
        <w:rPr>
          <w:rFonts w:hint="eastAsia" w:ascii="楷体" w:hAnsi="楷体" w:eastAsia="楷体" w:cs="楷体"/>
          <w:color w:val="auto"/>
          <w:sz w:val="32"/>
          <w:szCs w:val="32"/>
          <w:highlight w:val="none"/>
        </w:rPr>
      </w:pPr>
      <w:r>
        <w:rPr>
          <w:rFonts w:hint="eastAsia" w:ascii="仿宋" w:hAnsi="仿宋" w:eastAsia="仿宋" w:cs="仿宋"/>
          <w:bCs/>
          <w:color w:val="auto"/>
          <w:sz w:val="32"/>
          <w:szCs w:val="32"/>
          <w:highlight w:val="none"/>
        </w:rPr>
        <w:t>4.报价资料应符合完全响应</w:t>
      </w:r>
      <w:r>
        <w:rPr>
          <w:rFonts w:hint="eastAsia" w:ascii="仿宋" w:hAnsi="仿宋" w:eastAsia="仿宋" w:cs="仿宋"/>
          <w:color w:val="auto"/>
          <w:sz w:val="32"/>
          <w:szCs w:val="32"/>
          <w:highlight w:val="none"/>
          <w:shd w:val="clear" w:color="auto" w:fill="FFFFFF"/>
        </w:rPr>
        <w:t>山东省城市服务技师学院校方责任保险采购项目(三次）</w:t>
      </w:r>
      <w:r>
        <w:rPr>
          <w:rFonts w:hint="eastAsia" w:ascii="仿宋" w:hAnsi="仿宋" w:eastAsia="仿宋" w:cs="仿宋"/>
          <w:color w:val="auto"/>
          <w:sz w:val="32"/>
          <w:szCs w:val="32"/>
          <w:highlight w:val="none"/>
          <w:shd w:val="clear" w:color="auto" w:fill="FFFFFF"/>
          <w:lang w:val="en-US" w:eastAsia="zh-CN"/>
        </w:rPr>
        <w:t>所有</w:t>
      </w:r>
      <w:r>
        <w:rPr>
          <w:rFonts w:hint="eastAsia" w:ascii="仿宋" w:hAnsi="仿宋" w:eastAsia="仿宋" w:cs="仿宋"/>
          <w:bCs/>
          <w:color w:val="auto"/>
          <w:sz w:val="32"/>
          <w:szCs w:val="32"/>
          <w:highlight w:val="none"/>
        </w:rPr>
        <w:t>要求，要求见附件</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不完全响应视为无效报价</w:t>
      </w:r>
      <w:r>
        <w:rPr>
          <w:rFonts w:hint="eastAsia" w:ascii="仿宋" w:hAnsi="仿宋" w:eastAsia="仿宋" w:cs="仿宋"/>
          <w:bCs/>
          <w:color w:val="auto"/>
          <w:sz w:val="32"/>
          <w:szCs w:val="32"/>
          <w:highlight w:val="none"/>
        </w:rPr>
        <w:t>。</w:t>
      </w:r>
    </w:p>
    <w:p>
      <w:pPr>
        <w:pStyle w:val="12"/>
        <w:widowControl/>
        <w:spacing w:before="150" w:beforeAutospacing="0" w:after="150" w:afterAutospacing="0" w:line="585" w:lineRule="atLeast"/>
        <w:ind w:firstLine="645"/>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rPr>
        <w:t>五、控制价及付款方式</w:t>
      </w:r>
    </w:p>
    <w:p>
      <w:pPr>
        <w:pStyle w:val="12"/>
        <w:widowControl/>
        <w:spacing w:before="150" w:beforeAutospacing="0" w:after="150" w:afterAutospacing="0" w:line="585" w:lineRule="atLeast"/>
        <w:ind w:firstLine="645"/>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本项目控制价</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人民币（大写）拾元整/人（¥10.00/人），总预算为人民币（大写）玖万元整（90000.00元），报价超过采购预算的将按无效报价处理。本采购项目中采购人基准参保学生人数为9000人。若采购人实际参保学生人数小于或者等于9000人，则本项目总费用=实际参保学生人数X每名学生保险费；若采购人实际参保学生人数大于9000人，则本项目总费用为9万元。</w:t>
      </w:r>
    </w:p>
    <w:p>
      <w:pPr>
        <w:pStyle w:val="12"/>
        <w:widowControl/>
        <w:spacing w:before="150" w:beforeAutospacing="0" w:after="150" w:afterAutospacing="0" w:line="585" w:lineRule="atLeast"/>
        <w:ind w:firstLine="645"/>
        <w:rPr>
          <w:rFonts w:ascii="楷体" w:hAnsi="楷体" w:eastAsia="楷体" w:cs="楷体"/>
          <w:color w:val="auto"/>
          <w:sz w:val="32"/>
          <w:szCs w:val="32"/>
          <w:highlight w:val="none"/>
        </w:rPr>
      </w:pPr>
      <w:r>
        <w:rPr>
          <w:rFonts w:hint="eastAsia" w:ascii="仿宋" w:hAnsi="仿宋" w:eastAsia="仿宋" w:cs="仿宋"/>
          <w:color w:val="auto"/>
          <w:sz w:val="32"/>
          <w:szCs w:val="32"/>
          <w:highlight w:val="none"/>
          <w:lang w:val="en-US" w:eastAsia="zh-CN"/>
        </w:rPr>
        <w:t>付款方式：按照每期实际投保学生人数一次性付清当期保费。</w:t>
      </w:r>
    </w:p>
    <w:p>
      <w:pPr>
        <w:pStyle w:val="12"/>
        <w:widowControl/>
        <w:spacing w:before="150" w:beforeAutospacing="0" w:after="150" w:afterAutospacing="0" w:line="585" w:lineRule="atLeast"/>
        <w:ind w:firstLine="645"/>
        <w:rPr>
          <w:rFonts w:ascii="楷体" w:hAnsi="楷体" w:eastAsia="楷体" w:cs="楷体"/>
          <w:color w:val="auto"/>
          <w:sz w:val="32"/>
          <w:szCs w:val="32"/>
          <w:highlight w:val="none"/>
        </w:rPr>
      </w:pPr>
      <w:r>
        <w:rPr>
          <w:rFonts w:hint="eastAsia" w:ascii="楷体" w:hAnsi="楷体" w:eastAsia="楷体" w:cs="楷体"/>
          <w:color w:val="auto"/>
          <w:sz w:val="32"/>
          <w:szCs w:val="32"/>
          <w:highlight w:val="none"/>
          <w:lang w:val="en-US" w:eastAsia="zh-CN"/>
        </w:rPr>
        <w:t>六</w:t>
      </w:r>
      <w:r>
        <w:rPr>
          <w:rFonts w:hint="eastAsia" w:ascii="楷体" w:hAnsi="楷体" w:eastAsia="楷体" w:cs="楷体"/>
          <w:color w:val="auto"/>
          <w:sz w:val="32"/>
          <w:szCs w:val="32"/>
          <w:highlight w:val="none"/>
        </w:rPr>
        <w:t>、报价人提交报价资料视为同意该询价公告条款，采购人享有对该条款的解释权。</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5"/>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附件：1、报价单</w:t>
      </w:r>
    </w:p>
    <w:p>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1260" w:firstLineChars="6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2、投保内容要求</w:t>
      </w:r>
    </w:p>
    <w:p>
      <w:pPr>
        <w:pStyle w:val="1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1260" w:firstLineChars="600"/>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3、相关要求</w:t>
      </w:r>
    </w:p>
    <w:p>
      <w:pPr>
        <w:pStyle w:val="12"/>
        <w:widowControl/>
        <w:spacing w:before="150" w:beforeAutospacing="0" w:after="150" w:afterAutospacing="0" w:line="585" w:lineRule="atLeast"/>
        <w:rPr>
          <w:rFonts w:ascii="仿宋" w:hAnsi="仿宋" w:eastAsia="仿宋" w:cs="仿宋"/>
          <w:color w:val="auto"/>
          <w:sz w:val="32"/>
          <w:szCs w:val="32"/>
          <w:highlight w:val="none"/>
        </w:rPr>
      </w:pPr>
    </w:p>
    <w:p>
      <w:pPr>
        <w:pStyle w:val="12"/>
        <w:widowControl/>
        <w:spacing w:before="150" w:beforeAutospacing="0" w:after="150" w:afterAutospacing="0" w:line="585" w:lineRule="atLeast"/>
        <w:ind w:firstLine="5139" w:firstLineChars="1606"/>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山东省城市服务技师学院</w:t>
      </w:r>
    </w:p>
    <w:p>
      <w:pPr>
        <w:pStyle w:val="12"/>
        <w:widowControl/>
        <w:spacing w:before="150" w:beforeAutospacing="0" w:after="150" w:afterAutospacing="0" w:line="585" w:lineRule="atLeast"/>
        <w:ind w:firstLine="645"/>
        <w:jc w:val="center"/>
        <w:rPr>
          <w:color w:val="auto"/>
          <w:highlight w:val="none"/>
          <w:lang w:eastAsia="zh-Hans"/>
        </w:rPr>
      </w:pPr>
      <w:r>
        <w:rPr>
          <w:rFonts w:hint="eastAsia" w:ascii="仿宋" w:hAnsi="仿宋" w:eastAsia="仿宋" w:cs="仿宋"/>
          <w:color w:val="auto"/>
          <w:sz w:val="32"/>
          <w:szCs w:val="32"/>
          <w:highlight w:val="none"/>
        </w:rPr>
        <w:t xml:space="preserve">                        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15</w:t>
      </w:r>
      <w:bookmarkStart w:id="2" w:name="_GoBack"/>
      <w:bookmarkEnd w:id="2"/>
      <w:r>
        <w:rPr>
          <w:rFonts w:hint="eastAsia" w:ascii="仿宋" w:hAnsi="仿宋" w:eastAsia="仿宋" w:cs="仿宋"/>
          <w:color w:val="auto"/>
          <w:sz w:val="32"/>
          <w:szCs w:val="32"/>
          <w:highlight w:val="none"/>
        </w:rPr>
        <w:t>日</w:t>
      </w:r>
    </w:p>
    <w:p>
      <w:pPr>
        <w:pStyle w:val="6"/>
        <w:rPr>
          <w:color w:val="auto"/>
          <w:highlight w:val="none"/>
        </w:rPr>
      </w:pPr>
    </w:p>
    <w:p>
      <w:pPr>
        <w:pStyle w:val="11"/>
        <w:rPr>
          <w:color w:val="auto"/>
          <w:highlight w:val="none"/>
        </w:rPr>
      </w:pPr>
    </w:p>
    <w:p>
      <w:pPr>
        <w:rPr>
          <w:color w:val="auto"/>
          <w:highlight w:val="none"/>
        </w:rPr>
      </w:pPr>
    </w:p>
    <w:p>
      <w:pPr>
        <w:rPr>
          <w:rFonts w:ascii="仿宋" w:hAnsi="仿宋" w:eastAsia="仿宋" w:cs="仿宋"/>
          <w:color w:val="auto"/>
          <w:kern w:val="44"/>
          <w:sz w:val="28"/>
          <w:szCs w:val="28"/>
          <w:highlight w:val="none"/>
        </w:rPr>
      </w:pPr>
      <w:r>
        <w:rPr>
          <w:rFonts w:hint="eastAsia" w:ascii="仿宋" w:hAnsi="仿宋" w:eastAsia="仿宋" w:cs="仿宋"/>
          <w:color w:val="auto"/>
          <w:kern w:val="44"/>
          <w:sz w:val="28"/>
          <w:szCs w:val="28"/>
          <w:highlight w:val="none"/>
        </w:rPr>
        <w:t>附件1：报价单</w:t>
      </w:r>
    </w:p>
    <w:p>
      <w:pPr>
        <w:pStyle w:val="10"/>
        <w:rPr>
          <w:rFonts w:ascii="仿宋" w:hAnsi="仿宋" w:eastAsia="仿宋" w:cs="仿宋"/>
          <w:color w:val="auto"/>
          <w:kern w:val="44"/>
          <w:sz w:val="28"/>
          <w:szCs w:val="28"/>
          <w:highlight w:val="none"/>
        </w:rPr>
      </w:pPr>
    </w:p>
    <w:p>
      <w:pPr>
        <w:jc w:val="center"/>
        <w:rPr>
          <w:rFonts w:ascii="黑体" w:eastAsia="黑体"/>
          <w:color w:val="auto"/>
          <w:sz w:val="44"/>
          <w:szCs w:val="44"/>
          <w:highlight w:val="none"/>
          <w:lang w:bidi="ar"/>
        </w:rPr>
      </w:pPr>
      <w:r>
        <w:rPr>
          <w:rFonts w:hint="eastAsia" w:ascii="黑体" w:eastAsia="黑体"/>
          <w:color w:val="auto"/>
          <w:sz w:val="44"/>
          <w:szCs w:val="44"/>
          <w:highlight w:val="none"/>
          <w:lang w:bidi="ar"/>
        </w:rPr>
        <w:t>报价单</w:t>
      </w:r>
    </w:p>
    <w:p>
      <w:pPr>
        <w:rPr>
          <w:rFonts w:ascii="仿宋_GB2312" w:eastAsia="仿宋_GB2312"/>
          <w:color w:val="auto"/>
          <w:sz w:val="32"/>
          <w:szCs w:val="32"/>
          <w:highlight w:val="none"/>
          <w:lang w:bidi="ar"/>
        </w:rPr>
      </w:pPr>
      <w:r>
        <w:rPr>
          <w:rFonts w:hint="eastAsia" w:ascii="仿宋_GB2312" w:eastAsia="仿宋_GB2312"/>
          <w:color w:val="auto"/>
          <w:sz w:val="32"/>
          <w:szCs w:val="32"/>
          <w:highlight w:val="none"/>
          <w:lang w:bidi="ar"/>
        </w:rPr>
        <w:t>山东省城市服务技师学院：</w:t>
      </w:r>
    </w:p>
    <w:p>
      <w:pPr>
        <w:pStyle w:val="2"/>
        <w:ind w:firstLine="320" w:firstLineChars="100"/>
        <w:rPr>
          <w:rFonts w:hint="eastAsia" w:ascii="仿宋_GB2312" w:hAnsi="宋体" w:eastAsia="仿宋_GB2312" w:cs="宋体"/>
          <w:bCs/>
          <w:color w:val="auto"/>
          <w:sz w:val="32"/>
          <w:szCs w:val="32"/>
          <w:highlight w:val="none"/>
        </w:rPr>
      </w:pPr>
      <w:r>
        <w:rPr>
          <w:rFonts w:hint="eastAsia" w:ascii="仿宋_GB2312" w:hAnsi="宋体" w:eastAsia="仿宋_GB2312" w:cs="宋体"/>
          <w:bCs/>
          <w:color w:val="auto"/>
          <w:sz w:val="32"/>
          <w:szCs w:val="32"/>
          <w:highlight w:val="none"/>
        </w:rPr>
        <w:t>我单位在</w:t>
      </w:r>
      <w:r>
        <w:rPr>
          <w:rFonts w:hint="eastAsia" w:ascii="仿宋" w:hAnsi="仿宋" w:eastAsia="仿宋" w:cs="仿宋"/>
          <w:color w:val="auto"/>
          <w:sz w:val="32"/>
          <w:szCs w:val="32"/>
          <w:highlight w:val="none"/>
          <w:shd w:val="clear" w:color="auto" w:fill="FFFFFF"/>
        </w:rPr>
        <w:t>山东省城市服务技师学院校方责任保险采购项目(三次）</w:t>
      </w:r>
      <w:r>
        <w:rPr>
          <w:rFonts w:hint="eastAsia" w:ascii="仿宋_GB2312" w:hAnsi="宋体" w:eastAsia="仿宋_GB2312" w:cs="宋体"/>
          <w:bCs/>
          <w:color w:val="auto"/>
          <w:sz w:val="32"/>
          <w:szCs w:val="32"/>
          <w:highlight w:val="none"/>
        </w:rPr>
        <w:t>中</w:t>
      </w:r>
      <w:r>
        <w:rPr>
          <w:rFonts w:hint="eastAsia" w:ascii="仿宋_GB2312" w:hAnsi="宋体" w:eastAsia="仿宋_GB2312" w:cs="宋体"/>
          <w:bCs/>
          <w:color w:val="auto"/>
          <w:sz w:val="32"/>
          <w:szCs w:val="32"/>
          <w:highlight w:val="none"/>
          <w:lang w:val="en-US" w:eastAsia="zh-CN"/>
        </w:rPr>
        <w:t>每名学生保险费金额为</w:t>
      </w:r>
      <w:r>
        <w:rPr>
          <w:rFonts w:hint="eastAsia" w:ascii="仿宋_GB2312" w:hAnsi="宋体" w:eastAsia="仿宋_GB2312" w:cs="宋体"/>
          <w:bCs/>
          <w:color w:val="auto"/>
          <w:sz w:val="32"/>
          <w:szCs w:val="32"/>
          <w:highlight w:val="none"/>
        </w:rPr>
        <w:t>人民币_</w:t>
      </w:r>
      <w:r>
        <w:rPr>
          <w:rFonts w:ascii="仿宋_GB2312" w:hAnsi="宋体" w:eastAsia="仿宋_GB2312" w:cs="宋体"/>
          <w:bCs/>
          <w:color w:val="auto"/>
          <w:sz w:val="32"/>
          <w:szCs w:val="32"/>
          <w:highlight w:val="none"/>
        </w:rPr>
        <w:t>_________________</w:t>
      </w:r>
      <w:r>
        <w:rPr>
          <w:rFonts w:hint="eastAsia" w:ascii="仿宋_GB2312" w:hAnsi="宋体" w:eastAsia="仿宋_GB2312" w:cs="宋体"/>
          <w:bCs/>
          <w:color w:val="auto"/>
          <w:sz w:val="32"/>
          <w:szCs w:val="32"/>
          <w:highlight w:val="none"/>
        </w:rPr>
        <w:t>，大写_</w:t>
      </w:r>
      <w:r>
        <w:rPr>
          <w:rFonts w:ascii="仿宋_GB2312" w:hAnsi="宋体" w:eastAsia="仿宋_GB2312" w:cs="宋体"/>
          <w:bCs/>
          <w:color w:val="auto"/>
          <w:sz w:val="32"/>
          <w:szCs w:val="32"/>
          <w:highlight w:val="none"/>
        </w:rPr>
        <w:t>_______________________</w:t>
      </w:r>
      <w:r>
        <w:rPr>
          <w:rFonts w:hint="eastAsia" w:ascii="仿宋_GB2312" w:hAnsi="宋体" w:eastAsia="仿宋_GB2312" w:cs="宋体"/>
          <w:bCs/>
          <w:color w:val="auto"/>
          <w:sz w:val="32"/>
          <w:szCs w:val="32"/>
          <w:highlight w:val="none"/>
        </w:rPr>
        <w:t>。</w:t>
      </w:r>
    </w:p>
    <w:p>
      <w:pPr>
        <w:pStyle w:val="2"/>
        <w:ind w:firstLine="320" w:firstLineChars="100"/>
        <w:rPr>
          <w:rFonts w:hint="eastAsia" w:ascii="仿宋_GB2312" w:hAnsi="宋体" w:eastAsia="仿宋_GB2312" w:cs="宋体"/>
          <w:bCs/>
          <w:color w:val="auto"/>
          <w:sz w:val="32"/>
          <w:szCs w:val="32"/>
          <w:highlight w:val="none"/>
        </w:rPr>
      </w:pPr>
    </w:p>
    <w:p>
      <w:pPr>
        <w:pStyle w:val="2"/>
        <w:ind w:firstLine="320" w:firstLineChars="100"/>
        <w:rPr>
          <w:rFonts w:ascii="仿宋_GB2312" w:eastAsia="仿宋_GB2312"/>
          <w:color w:val="auto"/>
          <w:sz w:val="32"/>
          <w:szCs w:val="32"/>
          <w:highlight w:val="none"/>
        </w:rPr>
      </w:pPr>
      <w:r>
        <w:rPr>
          <w:rFonts w:hint="eastAsia" w:ascii="仿宋_GB2312" w:eastAsia="仿宋_GB2312"/>
          <w:color w:val="auto"/>
          <w:sz w:val="32"/>
          <w:szCs w:val="32"/>
          <w:highlight w:val="none"/>
        </w:rPr>
        <w:t>联系人：</w:t>
      </w:r>
    </w:p>
    <w:p>
      <w:pPr>
        <w:ind w:firstLine="320" w:firstLineChars="100"/>
        <w:rPr>
          <w:rFonts w:ascii="仿宋_GB2312" w:eastAsia="仿宋_GB2312"/>
          <w:color w:val="auto"/>
          <w:sz w:val="32"/>
          <w:szCs w:val="32"/>
          <w:highlight w:val="none"/>
        </w:rPr>
      </w:pPr>
      <w:r>
        <w:rPr>
          <w:rFonts w:hint="eastAsia" w:ascii="仿宋_GB2312" w:eastAsia="仿宋_GB2312"/>
          <w:color w:val="auto"/>
          <w:sz w:val="32"/>
          <w:szCs w:val="32"/>
          <w:highlight w:val="none"/>
        </w:rPr>
        <w:t>联系电话：</w:t>
      </w:r>
    </w:p>
    <w:p>
      <w:pPr>
        <w:pStyle w:val="4"/>
        <w:jc w:val="both"/>
        <w:rPr>
          <w:color w:val="auto"/>
          <w:sz w:val="32"/>
          <w:highlight w:val="none"/>
          <w:lang w:bidi="ar"/>
        </w:rPr>
      </w:pPr>
    </w:p>
    <w:p>
      <w:pPr>
        <w:rPr>
          <w:color w:val="auto"/>
          <w:highlight w:val="none"/>
        </w:rPr>
      </w:pPr>
    </w:p>
    <w:p>
      <w:pPr>
        <w:pStyle w:val="2"/>
        <w:ind w:right="600"/>
        <w:jc w:val="center"/>
        <w:rPr>
          <w:color w:val="auto"/>
          <w:sz w:val="32"/>
          <w:szCs w:val="32"/>
          <w:highlight w:val="none"/>
          <w:lang w:bidi="ar"/>
        </w:rPr>
      </w:pPr>
      <w:r>
        <w:rPr>
          <w:rFonts w:hint="eastAsia"/>
          <w:color w:val="auto"/>
          <w:sz w:val="32"/>
          <w:szCs w:val="32"/>
          <w:highlight w:val="none"/>
          <w:lang w:bidi="ar"/>
        </w:rPr>
        <w:t xml:space="preserve">                 报价单位（章）：</w:t>
      </w:r>
    </w:p>
    <w:p>
      <w:pPr>
        <w:pStyle w:val="2"/>
        <w:ind w:right="600"/>
        <w:jc w:val="center"/>
        <w:rPr>
          <w:color w:val="auto"/>
          <w:highlight w:val="none"/>
          <w:lang w:bidi="ar"/>
        </w:rPr>
      </w:pPr>
      <w:r>
        <w:rPr>
          <w:rFonts w:hint="eastAsia"/>
          <w:color w:val="auto"/>
          <w:sz w:val="32"/>
          <w:szCs w:val="32"/>
          <w:highlight w:val="none"/>
          <w:lang w:bidi="ar"/>
        </w:rPr>
        <w:t xml:space="preserve">                            202</w:t>
      </w:r>
      <w:r>
        <w:rPr>
          <w:rFonts w:hint="eastAsia"/>
          <w:color w:val="auto"/>
          <w:sz w:val="32"/>
          <w:szCs w:val="32"/>
          <w:highlight w:val="none"/>
          <w:lang w:val="en-US" w:eastAsia="zh-CN" w:bidi="ar"/>
        </w:rPr>
        <w:t>3</w:t>
      </w:r>
      <w:r>
        <w:rPr>
          <w:rFonts w:hint="eastAsia"/>
          <w:color w:val="auto"/>
          <w:sz w:val="32"/>
          <w:szCs w:val="32"/>
          <w:highlight w:val="none"/>
          <w:lang w:bidi="ar"/>
        </w:rPr>
        <w:t>年   月  日</w:t>
      </w:r>
    </w:p>
    <w:p>
      <w:pPr>
        <w:rPr>
          <w:color w:val="auto"/>
          <w:highlight w:val="none"/>
        </w:rPr>
      </w:pPr>
    </w:p>
    <w:p>
      <w:pPr>
        <w:pStyle w:val="10"/>
        <w:jc w:val="left"/>
        <w:rPr>
          <w:b/>
          <w:bCs/>
          <w:color w:val="auto"/>
          <w:highlight w:val="none"/>
        </w:rPr>
      </w:pPr>
    </w:p>
    <w:p>
      <w:pPr>
        <w:rPr>
          <w:rFonts w:ascii="仿宋" w:hAnsi="仿宋" w:eastAsia="仿宋" w:cs="仿宋"/>
          <w:color w:val="auto"/>
          <w:kern w:val="0"/>
          <w:sz w:val="32"/>
          <w:szCs w:val="32"/>
          <w:highlight w:val="none"/>
          <w:lang w:bidi="ar"/>
        </w:rPr>
      </w:pPr>
      <w:r>
        <w:rPr>
          <w:rFonts w:ascii="仿宋" w:hAnsi="仿宋" w:eastAsia="仿宋" w:cs="仿宋"/>
          <w:color w:val="auto"/>
          <w:kern w:val="0"/>
          <w:sz w:val="32"/>
          <w:szCs w:val="32"/>
          <w:highlight w:val="none"/>
          <w:lang w:bidi="ar"/>
        </w:rPr>
        <w:br w:type="page"/>
      </w:r>
    </w:p>
    <w:p>
      <w:pPr>
        <w:pStyle w:val="11"/>
        <w:rPr>
          <w:color w:val="auto"/>
          <w:highlight w:val="none"/>
        </w:rPr>
      </w:pPr>
    </w:p>
    <w:p>
      <w:pPr>
        <w:rPr>
          <w:rFonts w:hint="default"/>
          <w:color w:val="auto"/>
          <w:sz w:val="36"/>
          <w:szCs w:val="36"/>
          <w:highlight w:val="none"/>
          <w:lang w:val="en-US" w:eastAsia="zh-CN"/>
        </w:rPr>
      </w:pPr>
      <w:r>
        <w:rPr>
          <w:rFonts w:hint="eastAsia"/>
          <w:color w:val="auto"/>
          <w:sz w:val="36"/>
          <w:szCs w:val="36"/>
          <w:highlight w:val="none"/>
        </w:rPr>
        <w:t>附件2：</w:t>
      </w:r>
      <w:r>
        <w:rPr>
          <w:rFonts w:hint="eastAsia"/>
          <w:color w:val="auto"/>
          <w:sz w:val="36"/>
          <w:szCs w:val="36"/>
          <w:highlight w:val="none"/>
          <w:lang w:val="en-US" w:eastAsia="zh-CN"/>
        </w:rPr>
        <w:t>投保内容要求</w:t>
      </w:r>
    </w:p>
    <w:p>
      <w:pPr>
        <w:pStyle w:val="7"/>
        <w:pageBreakBefore w:val="0"/>
        <w:kinsoku/>
        <w:wordWrap/>
        <w:overflowPunct/>
        <w:topLinePunct w:val="0"/>
        <w:bidi w:val="0"/>
        <w:snapToGrid/>
        <w:spacing w:line="360" w:lineRule="auto"/>
        <w:ind w:firstLine="482" w:firstLineChars="200"/>
        <w:rPr>
          <w:color w:val="auto"/>
          <w:szCs w:val="24"/>
          <w:highlight w:val="none"/>
        </w:rPr>
      </w:pPr>
      <w:bookmarkStart w:id="0" w:name="_Toc120634843"/>
      <w:r>
        <w:rPr>
          <w:rFonts w:hint="eastAsia" w:ascii="宋体" w:hAnsi="宋体"/>
          <w:b/>
          <w:color w:val="auto"/>
          <w:sz w:val="24"/>
          <w:szCs w:val="24"/>
          <w:highlight w:val="none"/>
        </w:rPr>
        <w:t>一、项目</w:t>
      </w:r>
      <w:r>
        <w:rPr>
          <w:rFonts w:hint="eastAsia" w:ascii="宋体" w:hAnsi="宋体"/>
          <w:b/>
          <w:color w:val="auto"/>
          <w:sz w:val="24"/>
          <w:szCs w:val="24"/>
          <w:highlight w:val="none"/>
          <w:lang w:val="en-US" w:eastAsia="zh-CN"/>
        </w:rPr>
        <w:t>名称</w:t>
      </w:r>
      <w:r>
        <w:rPr>
          <w:rFonts w:hint="eastAsia" w:ascii="宋体" w:hAnsi="宋体"/>
          <w:b/>
          <w:color w:val="auto"/>
          <w:sz w:val="24"/>
          <w:szCs w:val="24"/>
          <w:highlight w:val="none"/>
        </w:rPr>
        <w:t>：</w:t>
      </w:r>
      <w:r>
        <w:rPr>
          <w:rFonts w:hint="eastAsia" w:hAnsi="宋体" w:cs="宋体"/>
          <w:color w:val="auto"/>
          <w:szCs w:val="24"/>
          <w:highlight w:val="none"/>
        </w:rPr>
        <w:t>山东省城市服务技师学院</w:t>
      </w:r>
      <w:r>
        <w:rPr>
          <w:rFonts w:hint="eastAsia" w:hAnsi="宋体" w:cs="宋体"/>
          <w:color w:val="auto"/>
          <w:szCs w:val="24"/>
          <w:highlight w:val="none"/>
          <w:lang w:val="en-US" w:eastAsia="zh-CN"/>
        </w:rPr>
        <w:t>校方责任</w:t>
      </w:r>
      <w:r>
        <w:rPr>
          <w:rFonts w:hint="eastAsia" w:hAnsi="宋体" w:cs="宋体"/>
          <w:color w:val="auto"/>
          <w:szCs w:val="24"/>
          <w:highlight w:val="none"/>
          <w:lang w:eastAsia="zh-CN"/>
        </w:rPr>
        <w:t>保险项目</w:t>
      </w:r>
      <w:r>
        <w:rPr>
          <w:rFonts w:hint="eastAsia"/>
          <w:color w:val="auto"/>
          <w:szCs w:val="24"/>
          <w:highlight w:val="none"/>
        </w:rPr>
        <w:t>。</w:t>
      </w:r>
    </w:p>
    <w:p>
      <w:pPr>
        <w:pageBreakBefore w:val="0"/>
        <w:kinsoku/>
        <w:wordWrap/>
        <w:overflowPunct/>
        <w:topLinePunct w:val="0"/>
        <w:bidi w:val="0"/>
        <w:snapToGrid/>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二、</w:t>
      </w:r>
      <w:r>
        <w:rPr>
          <w:rFonts w:hint="eastAsia" w:ascii="宋体" w:hAnsi="宋体" w:cs="宋体"/>
          <w:b/>
          <w:color w:val="auto"/>
          <w:sz w:val="24"/>
          <w:highlight w:val="none"/>
        </w:rPr>
        <w:t>保险险种</w:t>
      </w:r>
      <w:r>
        <w:rPr>
          <w:rFonts w:hint="eastAsia" w:ascii="宋体" w:hAnsi="宋体" w:cs="宋体"/>
          <w:color w:val="auto"/>
          <w:sz w:val="24"/>
          <w:highlight w:val="none"/>
        </w:rPr>
        <w:t>：</w:t>
      </w:r>
      <w:r>
        <w:rPr>
          <w:rFonts w:hint="eastAsia" w:hAnsi="宋体" w:cs="宋体"/>
          <w:color w:val="auto"/>
          <w:szCs w:val="24"/>
          <w:highlight w:val="none"/>
          <w:lang w:val="en-US" w:eastAsia="zh-CN"/>
        </w:rPr>
        <w:t>校方责任</w:t>
      </w:r>
      <w:r>
        <w:rPr>
          <w:rFonts w:hint="eastAsia" w:hAnsi="宋体" w:cs="宋体"/>
          <w:color w:val="auto"/>
          <w:szCs w:val="24"/>
          <w:highlight w:val="none"/>
          <w:lang w:eastAsia="zh-CN"/>
        </w:rPr>
        <w:t>保险</w:t>
      </w:r>
    </w:p>
    <w:bookmarkEnd w:id="0"/>
    <w:p>
      <w:pPr>
        <w:pStyle w:val="2"/>
        <w:pageBreakBefore w:val="0"/>
        <w:kinsoku/>
        <w:wordWrap/>
        <w:overflowPunct/>
        <w:topLinePunct w:val="0"/>
        <w:bidi w:val="0"/>
        <w:snapToGrid/>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详细要求</w:t>
      </w:r>
    </w:p>
    <w:tbl>
      <w:tblPr>
        <w:tblStyle w:val="13"/>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0"/>
            <w:vAlign w:val="center"/>
          </w:tcPr>
          <w:p>
            <w:pPr>
              <w:pageBreakBefore w:val="0"/>
              <w:kinsoku/>
              <w:wordWrap/>
              <w:overflowPunct/>
              <w:topLinePunct w:val="0"/>
              <w:bidi w:val="0"/>
              <w:snapToGrid/>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一、投保人名称</w:t>
            </w:r>
          </w:p>
        </w:tc>
        <w:tc>
          <w:tcPr>
            <w:tcW w:w="8070" w:type="dxa"/>
            <w:noWrap w:val="0"/>
            <w:vAlign w:val="center"/>
          </w:tcPr>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山东省城市服务技师学院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0"/>
            <w:vAlign w:val="center"/>
          </w:tcPr>
          <w:p>
            <w:pPr>
              <w:pageBreakBefore w:val="0"/>
              <w:kinsoku/>
              <w:wordWrap/>
              <w:overflowPunct/>
              <w:topLinePunct w:val="0"/>
              <w:bidi w:val="0"/>
              <w:snapToGrid/>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二、投保人地址</w:t>
            </w:r>
          </w:p>
        </w:tc>
        <w:tc>
          <w:tcPr>
            <w:tcW w:w="8070" w:type="dxa"/>
            <w:noWrap w:val="0"/>
            <w:vAlign w:val="center"/>
          </w:tcPr>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山东省烟台市高新区海天路1001号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0"/>
            <w:vAlign w:val="center"/>
          </w:tcPr>
          <w:p>
            <w:pPr>
              <w:pageBreakBefore w:val="0"/>
              <w:kinsoku/>
              <w:wordWrap/>
              <w:overflowPunct/>
              <w:topLinePunct w:val="0"/>
              <w:bidi w:val="0"/>
              <w:snapToGrid/>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三、投保学生人数</w:t>
            </w:r>
          </w:p>
        </w:tc>
        <w:tc>
          <w:tcPr>
            <w:tcW w:w="8070" w:type="dxa"/>
            <w:noWrap w:val="0"/>
            <w:vAlign w:val="center"/>
          </w:tcPr>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约9000人，以实际投保人数为准。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0"/>
            <w:vAlign w:val="center"/>
          </w:tcPr>
          <w:p>
            <w:pPr>
              <w:pageBreakBefore w:val="0"/>
              <w:kinsoku/>
              <w:wordWrap/>
              <w:overflowPunct/>
              <w:topLinePunct w:val="0"/>
              <w:bidi w:val="0"/>
              <w:snapToGrid/>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四、保险期间</w:t>
            </w:r>
          </w:p>
        </w:tc>
        <w:tc>
          <w:tcPr>
            <w:tcW w:w="8070" w:type="dxa"/>
            <w:noWrap w:val="0"/>
            <w:vAlign w:val="center"/>
          </w:tcPr>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自合同签订之日起一年。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0"/>
            <w:vAlign w:val="center"/>
          </w:tcPr>
          <w:p>
            <w:pPr>
              <w:pageBreakBefore w:val="0"/>
              <w:kinsoku/>
              <w:wordWrap/>
              <w:overflowPunct/>
              <w:topLinePunct w:val="0"/>
              <w:bidi w:val="0"/>
              <w:snapToGrid/>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五、保险条款</w:t>
            </w:r>
          </w:p>
        </w:tc>
        <w:tc>
          <w:tcPr>
            <w:tcW w:w="8070" w:type="dxa"/>
            <w:noWrap w:val="0"/>
            <w:vAlign w:val="center"/>
          </w:tcPr>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（一）基本险：校（园）方责任保险条款</w:t>
            </w:r>
          </w:p>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hAnsi="宋体" w:cs="宋体"/>
                <w:color w:val="auto"/>
                <w:kern w:val="0"/>
                <w:szCs w:val="21"/>
                <w:highlight w:val="none"/>
              </w:rPr>
              <w:t>二</w:t>
            </w:r>
            <w:r>
              <w:rPr>
                <w:rFonts w:hint="eastAsia" w:ascii="宋体" w:hAnsi="宋体" w:cs="宋体"/>
                <w:color w:val="auto"/>
                <w:kern w:val="0"/>
                <w:szCs w:val="21"/>
                <w:highlight w:val="none"/>
              </w:rPr>
              <w:t>）</w:t>
            </w:r>
            <w:r>
              <w:rPr>
                <w:rFonts w:hint="eastAsia" w:hAnsi="宋体" w:cs="宋体"/>
                <w:color w:val="auto"/>
                <w:kern w:val="0"/>
                <w:szCs w:val="21"/>
                <w:highlight w:val="none"/>
              </w:rPr>
              <w:t>附加</w:t>
            </w:r>
            <w:r>
              <w:rPr>
                <w:rFonts w:hint="eastAsia" w:ascii="宋体" w:hAnsi="宋体" w:cs="宋体"/>
                <w:color w:val="auto"/>
                <w:kern w:val="0"/>
                <w:szCs w:val="21"/>
                <w:highlight w:val="none"/>
              </w:rPr>
              <w:t>险：</w:t>
            </w:r>
            <w:r>
              <w:rPr>
                <w:rFonts w:hint="eastAsia" w:hAnsi="宋体" w:cs="宋体"/>
                <w:color w:val="auto"/>
                <w:kern w:val="0"/>
                <w:szCs w:val="21"/>
                <w:highlight w:val="none"/>
              </w:rPr>
              <w:t>附加</w:t>
            </w:r>
            <w:r>
              <w:rPr>
                <w:rFonts w:hint="eastAsia" w:ascii="宋体" w:hAnsi="宋体" w:cs="宋体"/>
                <w:color w:val="auto"/>
                <w:kern w:val="0"/>
                <w:szCs w:val="21"/>
                <w:highlight w:val="none"/>
              </w:rPr>
              <w:t>校（园）方</w:t>
            </w:r>
            <w:r>
              <w:rPr>
                <w:rFonts w:hint="eastAsia" w:hAnsi="宋体" w:cs="宋体"/>
                <w:color w:val="auto"/>
                <w:kern w:val="0"/>
                <w:szCs w:val="21"/>
                <w:highlight w:val="none"/>
              </w:rPr>
              <w:t>无过失</w:t>
            </w:r>
            <w:r>
              <w:rPr>
                <w:rFonts w:hint="eastAsia" w:ascii="宋体" w:hAnsi="宋体" w:cs="宋体"/>
                <w:color w:val="auto"/>
                <w:kern w:val="0"/>
                <w:szCs w:val="21"/>
                <w:highlight w:val="none"/>
              </w:rPr>
              <w:t>责任保险条款</w:t>
            </w:r>
          </w:p>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hAnsi="宋体" w:cs="宋体"/>
                <w:color w:val="auto"/>
                <w:kern w:val="0"/>
                <w:szCs w:val="21"/>
                <w:highlight w:val="none"/>
              </w:rPr>
              <w:t>三</w:t>
            </w:r>
            <w:r>
              <w:rPr>
                <w:rFonts w:hint="eastAsia" w:ascii="宋体" w:hAnsi="宋体" w:cs="宋体"/>
                <w:color w:val="auto"/>
                <w:kern w:val="0"/>
                <w:szCs w:val="21"/>
                <w:highlight w:val="none"/>
              </w:rPr>
              <w:t>）扩展条款：</w:t>
            </w:r>
          </w:p>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1、扩展财产损失保险条款（每次事故每人财产损失责任限额：1万元）</w:t>
            </w:r>
          </w:p>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2、扩展交流生保险条款</w:t>
            </w:r>
          </w:p>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3、扩展自然灾害及不可抗力保险条款</w:t>
            </w:r>
          </w:p>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4、扩展集体活动保险条款</w:t>
            </w:r>
          </w:p>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5、扩展新增学生人数变动保险条款</w:t>
            </w:r>
          </w:p>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6、扩展学生第三者责任保险条款（每次事故每人第三者责任限额：20万元）</w:t>
            </w:r>
          </w:p>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7、扩展恶劣天气保险条款</w:t>
            </w:r>
          </w:p>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8、扩展境外保险条款</w:t>
            </w:r>
          </w:p>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9、扩展校车保险条款</w:t>
            </w:r>
          </w:p>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10、扩展住宿场所保险条款</w:t>
            </w:r>
          </w:p>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11、扩展罢工、暴乱、民众骚乱或恶意破坏保险条款</w:t>
            </w:r>
          </w:p>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12、扩展性侵害保险条款</w:t>
            </w:r>
          </w:p>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13、扩展学业中断保险条款（每日学业中断损失补偿金：30元，每次事故每人学业中断损失责任限额：5000元，每次事故每人学业中断绝对免赔天数：</w:t>
            </w:r>
            <w:r>
              <w:rPr>
                <w:rFonts w:hint="eastAsia" w:hAnsi="宋体" w:cs="宋体"/>
                <w:color w:val="auto"/>
                <w:kern w:val="0"/>
                <w:szCs w:val="21"/>
                <w:highlight w:val="none"/>
              </w:rPr>
              <w:t>0</w:t>
            </w:r>
            <w:r>
              <w:rPr>
                <w:rFonts w:hint="eastAsia" w:ascii="宋体" w:hAnsi="宋体" w:cs="宋体"/>
                <w:color w:val="auto"/>
                <w:kern w:val="0"/>
                <w:szCs w:val="21"/>
                <w:highlight w:val="none"/>
              </w:rPr>
              <w:t>天）</w:t>
            </w:r>
          </w:p>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14、错误和遗漏条款</w:t>
            </w:r>
          </w:p>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15、违反条件条款</w:t>
            </w:r>
          </w:p>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注：上述扩展条款不需要投保人另行缴费，投保人投保基本险即获得上述所有扩展条款保险保障。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088" w:type="dxa"/>
            <w:noWrap w:val="0"/>
            <w:vAlign w:val="center"/>
          </w:tcPr>
          <w:p>
            <w:pPr>
              <w:pageBreakBefore w:val="0"/>
              <w:kinsoku/>
              <w:wordWrap/>
              <w:overflowPunct/>
              <w:topLinePunct w:val="0"/>
              <w:bidi w:val="0"/>
              <w:snapToGrid/>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六、基本险责任限额</w:t>
            </w:r>
          </w:p>
        </w:tc>
        <w:tc>
          <w:tcPr>
            <w:tcW w:w="8070" w:type="dxa"/>
            <w:noWrap w:val="0"/>
            <w:vAlign w:val="center"/>
          </w:tcPr>
          <w:tbl>
            <w:tblPr>
              <w:tblStyle w:val="13"/>
              <w:tblW w:w="7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153"/>
              <w:gridCol w:w="2805"/>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shd w:val="clear" w:color="auto" w:fill="F1F1F1"/>
                  <w:noWrap w:val="0"/>
                  <w:vAlign w:val="top"/>
                </w:tcPr>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方案</w:t>
                  </w:r>
                </w:p>
              </w:tc>
              <w:tc>
                <w:tcPr>
                  <w:tcW w:w="2153" w:type="dxa"/>
                  <w:shd w:val="clear" w:color="auto" w:fill="F1F1F1"/>
                  <w:noWrap w:val="0"/>
                  <w:vAlign w:val="top"/>
                </w:tcPr>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每次事故责任限额</w:t>
                  </w:r>
                </w:p>
              </w:tc>
              <w:tc>
                <w:tcPr>
                  <w:tcW w:w="2805" w:type="dxa"/>
                  <w:shd w:val="clear" w:color="auto" w:fill="F1F1F1"/>
                  <w:noWrap w:val="0"/>
                  <w:vAlign w:val="top"/>
                </w:tcPr>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每次事故每人责任限额</w:t>
                  </w:r>
                </w:p>
              </w:tc>
              <w:tc>
                <w:tcPr>
                  <w:tcW w:w="1252" w:type="dxa"/>
                  <w:shd w:val="clear" w:color="auto" w:fill="F1F1F1"/>
                  <w:noWrap w:val="0"/>
                  <w:vAlign w:val="top"/>
                </w:tcPr>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保险费率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noWrap w:val="0"/>
                  <w:vAlign w:val="top"/>
                </w:tcPr>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方案</w:t>
                  </w:r>
                </w:p>
              </w:tc>
              <w:tc>
                <w:tcPr>
                  <w:tcW w:w="2153" w:type="dxa"/>
                  <w:noWrap w:val="0"/>
                  <w:vAlign w:val="top"/>
                </w:tcPr>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hAnsi="宋体" w:cs="宋体"/>
                      <w:color w:val="auto"/>
                      <w:kern w:val="0"/>
                      <w:szCs w:val="21"/>
                      <w:highlight w:val="none"/>
                    </w:rPr>
                    <w:t>6000</w:t>
                  </w:r>
                  <w:r>
                    <w:rPr>
                      <w:rFonts w:hint="eastAsia" w:ascii="宋体" w:hAnsi="宋体" w:cs="宋体"/>
                      <w:color w:val="auto"/>
                      <w:kern w:val="0"/>
                      <w:szCs w:val="21"/>
                      <w:highlight w:val="none"/>
                    </w:rPr>
                    <w:t>万元</w:t>
                  </w:r>
                </w:p>
              </w:tc>
              <w:tc>
                <w:tcPr>
                  <w:tcW w:w="2805" w:type="dxa"/>
                  <w:noWrap w:val="0"/>
                  <w:vAlign w:val="top"/>
                </w:tcPr>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hAnsi="宋体" w:cs="宋体"/>
                      <w:color w:val="auto"/>
                      <w:kern w:val="0"/>
                      <w:szCs w:val="21"/>
                      <w:highlight w:val="none"/>
                    </w:rPr>
                    <w:t>1</w:t>
                  </w:r>
                  <w:r>
                    <w:rPr>
                      <w:rFonts w:hint="eastAsia" w:ascii="宋体" w:hAnsi="宋体" w:cs="宋体"/>
                      <w:color w:val="auto"/>
                      <w:kern w:val="0"/>
                      <w:szCs w:val="21"/>
                      <w:highlight w:val="none"/>
                    </w:rPr>
                    <w:t>50万元</w:t>
                  </w:r>
                </w:p>
              </w:tc>
              <w:tc>
                <w:tcPr>
                  <w:tcW w:w="1252" w:type="dxa"/>
                  <w:noWrap w:val="0"/>
                  <w:vAlign w:val="top"/>
                </w:tcPr>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tc>
            </w:tr>
          </w:tbl>
          <w:p>
            <w:pPr>
              <w:pageBreakBefore w:val="0"/>
              <w:kinsoku/>
              <w:wordWrap/>
              <w:overflowPunct/>
              <w:topLinePunct w:val="0"/>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注：1、累计责任限额：7000万；</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2、每次事故每人医疗费用责任限额：同每次事故每人责任限额；</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3、每次事故每人精神损害抚慰金责任限额：12万元；</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4、每次事故每人施救费用责任限额：同每次事故每人责任限额；</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5、每次事故及累计法律费用责任限额：每次事故责任限额的20%。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88" w:type="dxa"/>
            <w:noWrap w:val="0"/>
            <w:vAlign w:val="center"/>
          </w:tcPr>
          <w:p>
            <w:pPr>
              <w:pageBreakBefore w:val="0"/>
              <w:kinsoku/>
              <w:wordWrap/>
              <w:overflowPunct/>
              <w:topLinePunct w:val="0"/>
              <w:bidi w:val="0"/>
              <w:snapToGrid/>
              <w:spacing w:line="360" w:lineRule="auto"/>
              <w:rPr>
                <w:rFonts w:hint="eastAsia" w:ascii="宋体" w:hAnsi="宋体" w:cs="宋体"/>
                <w:b/>
                <w:color w:val="auto"/>
                <w:szCs w:val="21"/>
                <w:highlight w:val="none"/>
              </w:rPr>
            </w:pPr>
            <w:r>
              <w:rPr>
                <w:rFonts w:hint="eastAsia" w:hAnsi="宋体" w:cs="宋体"/>
                <w:b/>
                <w:color w:val="auto"/>
                <w:szCs w:val="21"/>
                <w:highlight w:val="none"/>
              </w:rPr>
              <w:t>七、附加险责任限额</w:t>
            </w:r>
          </w:p>
        </w:tc>
        <w:tc>
          <w:tcPr>
            <w:tcW w:w="8070" w:type="dxa"/>
            <w:noWrap w:val="0"/>
            <w:vAlign w:val="center"/>
          </w:tcPr>
          <w:tbl>
            <w:tblPr>
              <w:tblStyle w:val="13"/>
              <w:tblW w:w="7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2227"/>
              <w:gridCol w:w="2746"/>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shd w:val="clear" w:color="auto" w:fill="F1F1F1"/>
                  <w:noWrap w:val="0"/>
                  <w:vAlign w:val="top"/>
                </w:tcPr>
                <w:p>
                  <w:pPr>
                    <w:pageBreakBefore w:val="0"/>
                    <w:kinsoku/>
                    <w:wordWrap/>
                    <w:overflowPunct/>
                    <w:topLinePunct w:val="0"/>
                    <w:bidi w:val="0"/>
                    <w:snapToGrid/>
                    <w:spacing w:line="360" w:lineRule="auto"/>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方案</w:t>
                  </w:r>
                </w:p>
              </w:tc>
              <w:tc>
                <w:tcPr>
                  <w:tcW w:w="2227" w:type="dxa"/>
                  <w:shd w:val="clear" w:color="auto" w:fill="F1F1F1"/>
                  <w:noWrap w:val="0"/>
                  <w:vAlign w:val="top"/>
                </w:tcPr>
                <w:p>
                  <w:pPr>
                    <w:pageBreakBefore w:val="0"/>
                    <w:kinsoku/>
                    <w:wordWrap/>
                    <w:overflowPunct/>
                    <w:topLinePunct w:val="0"/>
                    <w:bidi w:val="0"/>
                    <w:snapToGrid/>
                    <w:spacing w:line="360" w:lineRule="auto"/>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每次事故责任限额</w:t>
                  </w:r>
                </w:p>
              </w:tc>
              <w:tc>
                <w:tcPr>
                  <w:tcW w:w="2746" w:type="dxa"/>
                  <w:shd w:val="clear" w:color="auto" w:fill="F1F1F1"/>
                  <w:noWrap w:val="0"/>
                  <w:vAlign w:val="top"/>
                </w:tcPr>
                <w:p>
                  <w:pPr>
                    <w:pageBreakBefore w:val="0"/>
                    <w:kinsoku/>
                    <w:wordWrap/>
                    <w:overflowPunct/>
                    <w:topLinePunct w:val="0"/>
                    <w:bidi w:val="0"/>
                    <w:snapToGrid/>
                    <w:spacing w:line="360" w:lineRule="auto"/>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每次事故每人责任限额</w:t>
                  </w:r>
                </w:p>
              </w:tc>
              <w:tc>
                <w:tcPr>
                  <w:tcW w:w="1400" w:type="dxa"/>
                  <w:shd w:val="clear" w:color="auto" w:fill="F1F1F1"/>
                  <w:noWrap w:val="0"/>
                  <w:vAlign w:val="top"/>
                </w:tcPr>
                <w:p>
                  <w:pPr>
                    <w:pageBreakBefore w:val="0"/>
                    <w:kinsoku/>
                    <w:wordWrap/>
                    <w:overflowPunct/>
                    <w:topLinePunct w:val="0"/>
                    <w:bidi w:val="0"/>
                    <w:snapToGrid/>
                    <w:spacing w:line="360" w:lineRule="auto"/>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保险费率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top"/>
                </w:tcPr>
                <w:p>
                  <w:pPr>
                    <w:pageBreakBefore w:val="0"/>
                    <w:kinsoku/>
                    <w:wordWrap/>
                    <w:overflowPunct/>
                    <w:topLinePunct w:val="0"/>
                    <w:bidi w:val="0"/>
                    <w:snapToGrid/>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方案</w:t>
                  </w:r>
                </w:p>
              </w:tc>
              <w:tc>
                <w:tcPr>
                  <w:tcW w:w="2227" w:type="dxa"/>
                  <w:noWrap w:val="0"/>
                  <w:vAlign w:val="top"/>
                </w:tcPr>
                <w:p>
                  <w:pPr>
                    <w:pageBreakBefore w:val="0"/>
                    <w:kinsoku/>
                    <w:wordWrap/>
                    <w:overflowPunct/>
                    <w:topLinePunct w:val="0"/>
                    <w:bidi w:val="0"/>
                    <w:snapToGrid/>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300万元</w:t>
                  </w:r>
                </w:p>
              </w:tc>
              <w:tc>
                <w:tcPr>
                  <w:tcW w:w="2746" w:type="dxa"/>
                  <w:noWrap w:val="0"/>
                  <w:vAlign w:val="top"/>
                </w:tcPr>
                <w:p>
                  <w:pPr>
                    <w:pageBreakBefore w:val="0"/>
                    <w:kinsoku/>
                    <w:wordWrap/>
                    <w:overflowPunct/>
                    <w:topLinePunct w:val="0"/>
                    <w:bidi w:val="0"/>
                    <w:snapToGrid/>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40万元</w:t>
                  </w:r>
                </w:p>
              </w:tc>
              <w:tc>
                <w:tcPr>
                  <w:tcW w:w="1400" w:type="dxa"/>
                  <w:noWrap w:val="0"/>
                  <w:vAlign w:val="top"/>
                </w:tcPr>
                <w:p>
                  <w:pPr>
                    <w:pageBreakBefore w:val="0"/>
                    <w:kinsoku/>
                    <w:wordWrap/>
                    <w:overflowPunct/>
                    <w:topLinePunct w:val="0"/>
                    <w:bidi w:val="0"/>
                    <w:snapToGrid/>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tc>
            </w:tr>
          </w:tbl>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注：1、累计责任限额：对应每次事故责任限额的2倍；</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2、每次事故每人医疗费用责任限额：同每次事故每人责任限额。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88" w:type="dxa"/>
            <w:noWrap w:val="0"/>
            <w:vAlign w:val="center"/>
          </w:tcPr>
          <w:p>
            <w:pPr>
              <w:pageBreakBefore w:val="0"/>
              <w:kinsoku/>
              <w:wordWrap/>
              <w:overflowPunct/>
              <w:topLinePunct w:val="0"/>
              <w:bidi w:val="0"/>
              <w:snapToGrid/>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八、免赔额</w:t>
            </w:r>
          </w:p>
        </w:tc>
        <w:tc>
          <w:tcPr>
            <w:tcW w:w="8070" w:type="dxa"/>
            <w:noWrap w:val="0"/>
            <w:vAlign w:val="center"/>
          </w:tcPr>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hAnsi="宋体" w:cs="宋体"/>
                <w:color w:val="auto"/>
                <w:kern w:val="0"/>
                <w:szCs w:val="21"/>
                <w:highlight w:val="none"/>
              </w:rPr>
              <w:t>本保险合同</w:t>
            </w:r>
            <w:r>
              <w:rPr>
                <w:rFonts w:hint="eastAsia" w:ascii="宋体" w:hAnsi="宋体" w:cs="宋体"/>
                <w:color w:val="auto"/>
                <w:kern w:val="0"/>
                <w:szCs w:val="21"/>
                <w:highlight w:val="none"/>
              </w:rPr>
              <w:t>无免赔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088" w:type="dxa"/>
            <w:noWrap w:val="0"/>
            <w:vAlign w:val="center"/>
          </w:tcPr>
          <w:p>
            <w:pPr>
              <w:pageBreakBefore w:val="0"/>
              <w:kinsoku/>
              <w:wordWrap/>
              <w:overflowPunct/>
              <w:topLinePunct w:val="0"/>
              <w:bidi w:val="0"/>
              <w:snapToGrid/>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九、保险费</w:t>
            </w:r>
          </w:p>
        </w:tc>
        <w:tc>
          <w:tcPr>
            <w:tcW w:w="8070" w:type="dxa"/>
            <w:noWrap w:val="0"/>
            <w:vAlign w:val="center"/>
          </w:tcPr>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保险费 = 基本险保险费率 * 投保学生人数 + 附加险保险费率 * 投保学生人数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8" w:type="dxa"/>
            <w:noWrap w:val="0"/>
            <w:vAlign w:val="center"/>
          </w:tcPr>
          <w:p>
            <w:pPr>
              <w:pageBreakBefore w:val="0"/>
              <w:kinsoku/>
              <w:wordWrap/>
              <w:overflowPunct/>
              <w:topLinePunct w:val="0"/>
              <w:bidi w:val="0"/>
              <w:snapToGrid/>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十、保费支付</w:t>
            </w:r>
          </w:p>
        </w:tc>
        <w:tc>
          <w:tcPr>
            <w:tcW w:w="8070" w:type="dxa"/>
            <w:noWrap w:val="0"/>
            <w:vAlign w:val="center"/>
          </w:tcPr>
          <w:p>
            <w:pPr>
              <w:pStyle w:val="21"/>
              <w:pageBreakBefore w:val="0"/>
              <w:kinsoku/>
              <w:wordWrap/>
              <w:overflowPunct/>
              <w:topLinePunct w:val="0"/>
              <w:bidi w:val="0"/>
              <w:snapToGrid/>
              <w:spacing w:line="360" w:lineRule="auto"/>
              <w:ind w:left="0" w:firstLine="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见费出单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十一、特别约定</w:t>
            </w:r>
          </w:p>
        </w:tc>
        <w:tc>
          <w:tcPr>
            <w:tcW w:w="807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napToGrid/>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扩展条款的效力高于基本险条款。</w:t>
            </w:r>
          </w:p>
        </w:tc>
      </w:tr>
    </w:tbl>
    <w:p>
      <w:pPr>
        <w:pStyle w:val="3"/>
        <w:pageBreakBefore w:val="0"/>
        <w:kinsoku/>
        <w:wordWrap/>
        <w:overflowPunct/>
        <w:topLinePunct w:val="0"/>
        <w:bidi w:val="0"/>
        <w:snapToGrid/>
        <w:spacing w:line="360" w:lineRule="auto"/>
        <w:rPr>
          <w:rFonts w:hint="eastAsia"/>
          <w:color w:val="auto"/>
          <w:highlight w:val="none"/>
        </w:rPr>
      </w:pPr>
    </w:p>
    <w:p>
      <w:pPr>
        <w:pageBreakBefore w:val="0"/>
        <w:kinsoku/>
        <w:wordWrap/>
        <w:overflowPunct/>
        <w:topLinePunct w:val="0"/>
        <w:bidi w:val="0"/>
        <w:snapToGrid/>
        <w:spacing w:line="360" w:lineRule="auto"/>
        <w:jc w:val="center"/>
        <w:rPr>
          <w:rFonts w:hint="eastAsia" w:ascii="宋体" w:hAnsi="宋体"/>
          <w:b/>
          <w:color w:val="auto"/>
          <w:sz w:val="24"/>
          <w:highlight w:val="none"/>
        </w:rPr>
      </w:pPr>
      <w:bookmarkStart w:id="1" w:name="_Toc2241939"/>
      <w:r>
        <w:rPr>
          <w:rFonts w:hint="eastAsia" w:ascii="宋体" w:hAnsi="宋体"/>
          <w:b/>
          <w:color w:val="auto"/>
          <w:sz w:val="24"/>
          <w:highlight w:val="none"/>
        </w:rPr>
        <w:t>三、其他要求（</w:t>
      </w:r>
      <w:r>
        <w:rPr>
          <w:rFonts w:hint="eastAsia" w:ascii="宋体" w:hAnsi="宋体"/>
          <w:b/>
          <w:color w:val="auto"/>
          <w:sz w:val="24"/>
          <w:highlight w:val="none"/>
        </w:rPr>
        <w:t>采购人及供应商需</w:t>
      </w:r>
      <w:r>
        <w:rPr>
          <w:rFonts w:hint="eastAsia" w:ascii="宋体" w:hAnsi="宋体" w:eastAsia="宋体" w:cs="Times New Roman"/>
          <w:b/>
          <w:color w:val="auto"/>
          <w:sz w:val="24"/>
          <w:highlight w:val="none"/>
        </w:rPr>
        <w:t>相应烟台市校方责任保险条款规定要求</w:t>
      </w:r>
      <w:r>
        <w:rPr>
          <w:rFonts w:hint="eastAsia" w:ascii="宋体" w:hAnsi="宋体"/>
          <w:b/>
          <w:color w:val="auto"/>
          <w:sz w:val="24"/>
          <w:highlight w:val="none"/>
        </w:rPr>
        <w:t>）：</w:t>
      </w:r>
    </w:p>
    <w:p>
      <w:pPr>
        <w:pageBreakBefore w:val="0"/>
        <w:kinsoku/>
        <w:wordWrap/>
        <w:overflowPunct/>
        <w:topLinePunct w:val="0"/>
        <w:bidi w:val="0"/>
        <w:snapToGrid/>
        <w:spacing w:line="360" w:lineRule="auto"/>
        <w:jc w:val="center"/>
        <w:rPr>
          <w:rFonts w:hint="eastAsia" w:ascii="宋体" w:hAnsi="宋体" w:cs="宋体"/>
          <w:b/>
          <w:color w:val="auto"/>
          <w:szCs w:val="21"/>
          <w:highlight w:val="none"/>
        </w:rPr>
      </w:pPr>
      <w:r>
        <w:rPr>
          <w:rFonts w:hint="eastAsia" w:hAnsi="宋体" w:cs="宋体"/>
          <w:b/>
          <w:color w:val="auto"/>
          <w:szCs w:val="21"/>
          <w:highlight w:val="none"/>
        </w:rPr>
        <w:t>烟台市</w:t>
      </w:r>
      <w:r>
        <w:rPr>
          <w:rFonts w:hint="eastAsia" w:ascii="宋体" w:hAnsi="宋体" w:cs="宋体"/>
          <w:b/>
          <w:color w:val="auto"/>
          <w:szCs w:val="21"/>
          <w:highlight w:val="none"/>
        </w:rPr>
        <w:t>校方责任保险条款</w:t>
      </w:r>
    </w:p>
    <w:p>
      <w:pPr>
        <w:pageBreakBefore w:val="0"/>
        <w:kinsoku/>
        <w:wordWrap/>
        <w:overflowPunct/>
        <w:topLinePunct w:val="0"/>
        <w:bidi w:val="0"/>
        <w:snapToGrid/>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总则</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本保险合同由保险条款、投保单、保险单以及批单组成。凡涉及本保险合同的约定，均应采用书面形式。</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凡经相关政府部门批准设立的托儿所、幼儿园、中小学、特殊教育学校、各类中等职业学校、高等学校或其他教育机构等均可作为本保险合同的被保险人。</w:t>
      </w:r>
    </w:p>
    <w:p>
      <w:pPr>
        <w:pageBreakBefore w:val="0"/>
        <w:widowControl/>
        <w:kinsoku/>
        <w:wordWrap/>
        <w:overflowPunct/>
        <w:topLinePunct w:val="0"/>
        <w:bidi w:val="0"/>
        <w:snapToGrid/>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保险责任</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保险期间内，在被保险人的在校活动中或由被保险人统一组织或安排的活动过程中，因发生下列情形导致被保险人的学生（以下简称学生）遭受人身损害，依照中华人民共和国法律（以下简称依法）应由被保险人承担的经济赔偿责任，保险人按照本保险合同的约定负责赔偿：</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（一）被保险人的校舍、场地、其他公共设施，以及被保险人提供给学生使用的学具、教育教学和生活设施、设备不符合国家规定的标准，或者有明显不安全因素的；</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（二）被保险人的安全保卫、消防、设施设备管理等安全管理制度有明显疏漏，或者管理混乱，存在重大安全隐患，而未及时采取措施的；</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（三）被保险人向学生提供的药品、食品、饮用水等不符合国家或者行业的有关标准、要求的；</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（四）被保险人组织学生参加教育教学活动或者校外活动，未对学生进行相应的安全教育，并未在可预见的范围内采取必要的安全措施的；</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（五）被保险人知道教师或者其他工作人员患有不适宜担任教育教学工作的疾病，但未采取必要措施的；</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（六）被保险人违反有关规定，组织或者安排未成年学生从事不宜未成年人参加的劳动、体育运动或者其他活动的；</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（七）学生有特异体质或者特定疾病，不宜参加某种教育教学活动，被保险人知道或者应当知道，但未予以必要的注意的；</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（八）学生在校期间突发疾病或者受到伤害，被保险人发现，但未根据实际情况及时采取相应措施，导致不良后果加重的；</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（九）被保险人的教师或者其他工作人员体罚或者变相体罚学生，或者在履行职责过程中违反工作要求、操作规程、职业道德或者其他有关规定的；</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（十）被保险人的教师或者其他工作人员在负有组织、管理未成年学生的职责期间，发现学生行为具有危险性，但未进行必要的管理、告诫或者制止的；</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（十一）对未成年学生擅自离校等与学生人身安全直接相关的信息，被保险人发现或者知道，但未及时告知未成年学生的监护人，导致未成年学生因脱离监护人的保护而发生伤害的；</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（十二）研学旅行期间发生意外事故的；</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（十三）被保险人有未依法履行职责的其他情形的。</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保险期间内，发生下列情形导致学生遭受人身损害，尽管被保险人已履行相应职责，行为并无不当，但经法院判决、调解或仲裁机构裁决、调解或保险人认可的赔偿处理机构决定被保险人需对受伤害学生给予经济补偿或被保险人依法根据实际情况对学生给予经济补偿时，保险人依照本保险合同约定负责赔偿：</w:t>
      </w:r>
    </w:p>
    <w:p>
      <w:pPr>
        <w:pageBreakBefore w:val="0"/>
        <w:tabs>
          <w:tab w:val="left" w:pos="2177"/>
        </w:tabs>
        <w:kinsoku/>
        <w:wordWrap/>
        <w:overflowPunct/>
        <w:topLinePunct w:val="0"/>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（一）学生在代表被保险人参加各项比赛，或者在参加被保险人统一组织的各项活动中发生意外事故；</w:t>
      </w:r>
    </w:p>
    <w:p>
      <w:pPr>
        <w:pageBreakBefore w:val="0"/>
        <w:tabs>
          <w:tab w:val="left" w:pos="2177"/>
        </w:tabs>
        <w:kinsoku/>
        <w:wordWrap/>
        <w:overflowPunct/>
        <w:topLinePunct w:val="0"/>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（二）拥挤、踩踏造成的意外事故；</w:t>
      </w:r>
    </w:p>
    <w:p>
      <w:pPr>
        <w:pageBreakBefore w:val="0"/>
        <w:tabs>
          <w:tab w:val="left" w:pos="2177"/>
        </w:tabs>
        <w:kinsoku/>
        <w:wordWrap/>
        <w:overflowPunct/>
        <w:topLinePunct w:val="0"/>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（三）火灾、爆炸、煤气中毒等造成的意外事故；</w:t>
      </w:r>
    </w:p>
    <w:p>
      <w:pPr>
        <w:pageBreakBefore w:val="0"/>
        <w:tabs>
          <w:tab w:val="left" w:pos="2177"/>
        </w:tabs>
        <w:kinsoku/>
        <w:wordWrap/>
        <w:overflowPunct/>
        <w:topLinePunct w:val="0"/>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（四）高空物体坠落造成的意外事故。</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保险事故发生后，被保险人为防止或者减少学生人身损害所支付的必要的、合理的费用（以下简称施救费用），保险人按照本保险合同的约定负责赔偿。</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生可能引起本保险合同项下赔偿的情形时，被保险人被提起诉讼或仲裁，事先经保险人书面同意支付的合理的、必要的诉讼费、鉴定费、取证费、案件受理费、评估费、公证费、律师费、仲裁费及其他相关费用等（以下简称法律费用），保险人依照本保险合同约定负责赔偿。</w:t>
      </w:r>
    </w:p>
    <w:p>
      <w:pPr>
        <w:pageBreakBefore w:val="0"/>
        <w:kinsoku/>
        <w:wordWrap/>
        <w:overflowPunct/>
        <w:topLinePunct w:val="0"/>
        <w:bidi w:val="0"/>
        <w:snapToGrid/>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责任免除</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szCs w:val="21"/>
          <w:highlight w:val="none"/>
        </w:rPr>
        <w:t>下列</w:t>
      </w:r>
      <w:r>
        <w:rPr>
          <w:rFonts w:hint="eastAsia" w:ascii="宋体" w:hAnsi="宋体" w:cs="宋体"/>
          <w:bCs/>
          <w:color w:val="auto"/>
          <w:kern w:val="0"/>
          <w:szCs w:val="21"/>
          <w:highlight w:val="none"/>
        </w:rPr>
        <w:t>原因造成学生人身损害的，保险人不负赔偿责任：</w:t>
      </w:r>
    </w:p>
    <w:p>
      <w:pPr>
        <w:pageBreakBefore w:val="0"/>
        <w:kinsoku/>
        <w:wordWrap/>
        <w:overflowPunct/>
        <w:topLinePunct w:val="0"/>
        <w:bidi w:val="0"/>
        <w:snapToGrid/>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（一）被保险人的故意行为；</w:t>
      </w:r>
    </w:p>
    <w:p>
      <w:pPr>
        <w:pageBreakBefore w:val="0"/>
        <w:kinsoku/>
        <w:wordWrap/>
        <w:overflowPunct/>
        <w:topLinePunct w:val="0"/>
        <w:bidi w:val="0"/>
        <w:snapToGrid/>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（二）战争、类似战争行为、敌对行动、军事行动、武装冲突、罢工、骚乱、暴动、恐怖活动；</w:t>
      </w:r>
    </w:p>
    <w:p>
      <w:pPr>
        <w:pageBreakBefore w:val="0"/>
        <w:kinsoku/>
        <w:wordWrap/>
        <w:overflowPunct/>
        <w:topLinePunct w:val="0"/>
        <w:bidi w:val="0"/>
        <w:snapToGrid/>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（三）核辐射、核爆炸、核污染及其他放射性污染；</w:t>
      </w:r>
    </w:p>
    <w:p>
      <w:pPr>
        <w:pageBreakBefore w:val="0"/>
        <w:kinsoku/>
        <w:wordWrap/>
        <w:overflowPunct/>
        <w:topLinePunct w:val="0"/>
        <w:bidi w:val="0"/>
        <w:snapToGrid/>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（四）大气污染、土地污染、水污染及其他各种污染；</w:t>
      </w:r>
    </w:p>
    <w:p>
      <w:pPr>
        <w:pageBreakBefore w:val="0"/>
        <w:kinsoku/>
        <w:wordWrap/>
        <w:overflowPunct/>
        <w:topLinePunct w:val="0"/>
        <w:bidi w:val="0"/>
        <w:snapToGrid/>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（五）不可抗力，但因被保险人防范措施不落实、应急救援预案或者防范救援措施不力，由自然灾害引发的事故除外；</w:t>
      </w:r>
    </w:p>
    <w:p>
      <w:pPr>
        <w:pageBreakBefore w:val="0"/>
        <w:kinsoku/>
        <w:wordWrap/>
        <w:overflowPunct/>
        <w:topLinePunct w:val="0"/>
        <w:bidi w:val="0"/>
        <w:snapToGrid/>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（六）被保险人默许或放任其教师或其他工作人员殴打、体罚或变相体罚学生的行为；</w:t>
      </w:r>
    </w:p>
    <w:p>
      <w:pPr>
        <w:pageBreakBefore w:val="0"/>
        <w:kinsoku/>
        <w:wordWrap/>
        <w:overflowPunct/>
        <w:topLinePunct w:val="0"/>
        <w:bidi w:val="0"/>
        <w:snapToGrid/>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（七）学生已脱离被保险人管理范围的；</w:t>
      </w:r>
    </w:p>
    <w:p>
      <w:pPr>
        <w:pageBreakBefore w:val="0"/>
        <w:kinsoku/>
        <w:wordWrap/>
        <w:overflowPunct/>
        <w:topLinePunct w:val="0"/>
        <w:bidi w:val="0"/>
        <w:snapToGrid/>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（八）学生自伤、自杀的，但学生有自伤、自杀倾向，</w:t>
      </w:r>
      <w:r>
        <w:rPr>
          <w:rFonts w:hint="eastAsia" w:ascii="宋体" w:hAnsi="宋体" w:cs="宋体"/>
          <w:bCs/>
          <w:color w:val="auto"/>
          <w:szCs w:val="21"/>
          <w:highlight w:val="none"/>
        </w:rPr>
        <w:t>被保险人知道或者应当知道，但未予以必要注意</w:t>
      </w:r>
      <w:r>
        <w:rPr>
          <w:rFonts w:hint="eastAsia" w:ascii="宋体" w:hAnsi="宋体" w:cs="宋体"/>
          <w:bCs/>
          <w:color w:val="auto"/>
          <w:kern w:val="0"/>
          <w:szCs w:val="21"/>
          <w:highlight w:val="none"/>
        </w:rPr>
        <w:t>或被保险人存在限制学生人身自由或体罚、羞辱学生等过错情形的除外；</w:t>
      </w:r>
    </w:p>
    <w:p>
      <w:pPr>
        <w:pageBreakBefore w:val="0"/>
        <w:kinsoku/>
        <w:wordWrap/>
        <w:overflowPunct/>
        <w:topLinePunct w:val="0"/>
        <w:bidi w:val="0"/>
        <w:snapToGrid/>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（九）学生有特异体质、特定疾病或者异常心理状态，被保险人不知道或者难于知道的；</w:t>
      </w:r>
    </w:p>
    <w:p>
      <w:pPr>
        <w:pageBreakBefore w:val="0"/>
        <w:kinsoku/>
        <w:wordWrap/>
        <w:overflowPunct/>
        <w:topLinePunct w:val="0"/>
        <w:bidi w:val="0"/>
        <w:snapToGrid/>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（十）学生突发疾病，被保险人采取的救护措施并无不当的；</w:t>
      </w:r>
    </w:p>
    <w:p>
      <w:pPr>
        <w:pageBreakBefore w:val="0"/>
        <w:kinsoku/>
        <w:wordWrap/>
        <w:overflowPunct/>
        <w:topLinePunct w:val="0"/>
        <w:bidi w:val="0"/>
        <w:snapToGrid/>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（十一）学生遭受第三者性侵害的，但被保险人有过错的除外。</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szCs w:val="21"/>
          <w:highlight w:val="none"/>
        </w:rPr>
        <w:t>下列</w:t>
      </w:r>
      <w:r>
        <w:rPr>
          <w:rFonts w:hint="eastAsia" w:ascii="宋体" w:hAnsi="宋体" w:cs="宋体"/>
          <w:bCs/>
          <w:color w:val="auto"/>
          <w:kern w:val="0"/>
          <w:szCs w:val="21"/>
          <w:highlight w:val="none"/>
        </w:rPr>
        <w:t>损失、费用和责任，保险人不负责赔偿：</w:t>
      </w:r>
    </w:p>
    <w:p>
      <w:pPr>
        <w:pageBreakBefore w:val="0"/>
        <w:kinsoku/>
        <w:wordWrap/>
        <w:overflowPunct/>
        <w:topLinePunct w:val="0"/>
        <w:bidi w:val="0"/>
        <w:snapToGrid/>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（一）被保险人根据与他人签订的协议应承担的合同责任，但即使没有这种协议被保险人依法仍应承担的经济赔偿责任不在此限；</w:t>
      </w:r>
    </w:p>
    <w:p>
      <w:pPr>
        <w:pageBreakBefore w:val="0"/>
        <w:kinsoku/>
        <w:wordWrap/>
        <w:overflowPunct/>
        <w:topLinePunct w:val="0"/>
        <w:bidi w:val="0"/>
        <w:snapToGrid/>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（二）学生在被保险人安排的实习单位进行实习过程中遭受的人身损害；</w:t>
      </w:r>
    </w:p>
    <w:p>
      <w:pPr>
        <w:pageBreakBefore w:val="0"/>
        <w:kinsoku/>
        <w:wordWrap/>
        <w:overflowPunct/>
        <w:topLinePunct w:val="0"/>
        <w:bidi w:val="0"/>
        <w:snapToGrid/>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（三）被保险人或其雇员的人身损害及其所有或管理的财产的损失；</w:t>
      </w:r>
    </w:p>
    <w:p>
      <w:pPr>
        <w:pageBreakBefore w:val="0"/>
        <w:kinsoku/>
        <w:wordWrap/>
        <w:overflowPunct/>
        <w:topLinePunct w:val="0"/>
        <w:bidi w:val="0"/>
        <w:snapToGrid/>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 xml:space="preserve">（四）罚款、罚金及惩罚性赔偿； </w:t>
      </w:r>
    </w:p>
    <w:p>
      <w:pPr>
        <w:pageBreakBefore w:val="0"/>
        <w:kinsoku/>
        <w:wordWrap/>
        <w:overflowPunct/>
        <w:topLinePunct w:val="0"/>
        <w:bidi w:val="0"/>
        <w:snapToGrid/>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（五）任何财产损失或间接损失。</w:t>
      </w:r>
    </w:p>
    <w:p>
      <w:pPr>
        <w:pageBreakBefore w:val="0"/>
        <w:kinsoku/>
        <w:wordWrap/>
        <w:overflowPunct/>
        <w:topLinePunct w:val="0"/>
        <w:bidi w:val="0"/>
        <w:snapToGrid/>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（六）保险单中载明的应由被保险人自行承担的免赔额（率）。</w:t>
      </w:r>
    </w:p>
    <w:p>
      <w:pPr>
        <w:pageBreakBefore w:val="0"/>
        <w:widowControl/>
        <w:kinsoku/>
        <w:wordWrap/>
        <w:overflowPunct/>
        <w:topLinePunct w:val="0"/>
        <w:bidi w:val="0"/>
        <w:snapToGrid/>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责任限额与免赔额</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本保险合同的责任限额包括累计责任限额、每次事故责任限额、每次事故每人施救费用责任限额、每次事故法律费用责任限额、累计法律费用责任限额、每次事故每人责任限额、每次事故每人医疗费用责任限额、</w:t>
      </w:r>
      <w:r>
        <w:rPr>
          <w:rFonts w:hint="eastAsia" w:ascii="宋体" w:hAnsi="宋体" w:cs="宋体"/>
          <w:color w:val="auto"/>
          <w:szCs w:val="21"/>
          <w:highlight w:val="none"/>
        </w:rPr>
        <w:t>每次事故每人精神损害抚慰金责任限额</w:t>
      </w:r>
      <w:r>
        <w:rPr>
          <w:rFonts w:hint="eastAsia" w:ascii="宋体" w:hAnsi="宋体" w:cs="宋体"/>
          <w:color w:val="auto"/>
          <w:kern w:val="0"/>
          <w:szCs w:val="21"/>
          <w:highlight w:val="none"/>
        </w:rPr>
        <w:t>。</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b/>
          <w:color w:val="auto"/>
          <w:kern w:val="0"/>
          <w:szCs w:val="21"/>
          <w:highlight w:val="none"/>
        </w:rPr>
      </w:pPr>
      <w:r>
        <w:rPr>
          <w:rFonts w:hint="eastAsia" w:ascii="宋体" w:hAnsi="宋体" w:cs="宋体"/>
          <w:color w:val="auto"/>
          <w:kern w:val="0"/>
          <w:szCs w:val="21"/>
          <w:highlight w:val="none"/>
        </w:rPr>
        <w:t>免赔额由投保人与保险人在签订保险合协商确定，并在保险单中载明</w:t>
      </w:r>
      <w:r>
        <w:rPr>
          <w:rFonts w:hint="eastAsia" w:ascii="宋体" w:hAnsi="宋体" w:cs="宋体"/>
          <w:b/>
          <w:color w:val="auto"/>
          <w:kern w:val="0"/>
          <w:szCs w:val="21"/>
          <w:highlight w:val="none"/>
        </w:rPr>
        <w:t>。</w:t>
      </w:r>
    </w:p>
    <w:p>
      <w:pPr>
        <w:pageBreakBefore w:val="0"/>
        <w:kinsoku/>
        <w:wordWrap/>
        <w:overflowPunct/>
        <w:topLinePunct w:val="0"/>
        <w:bidi w:val="0"/>
        <w:snapToGrid/>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保险期间</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除</w:t>
      </w:r>
      <w:r>
        <w:rPr>
          <w:rFonts w:hint="eastAsia" w:ascii="宋体" w:hAnsi="宋体" w:cs="宋体"/>
          <w:color w:val="auto"/>
          <w:szCs w:val="21"/>
          <w:highlight w:val="none"/>
        </w:rPr>
        <w:t>另有约定外，保险期间为一年，以保险单载明的起讫时间为准。</w:t>
      </w:r>
    </w:p>
    <w:p>
      <w:pPr>
        <w:pageBreakBefore w:val="0"/>
        <w:tabs>
          <w:tab w:val="left" w:pos="1418"/>
        </w:tabs>
        <w:kinsoku/>
        <w:wordWrap/>
        <w:overflowPunct/>
        <w:topLinePunct w:val="0"/>
        <w:bidi w:val="0"/>
        <w:snapToGrid/>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保险费</w:t>
      </w:r>
    </w:p>
    <w:p>
      <w:pPr>
        <w:pageBreakBefore w:val="0"/>
        <w:widowControl/>
        <w:numPr>
          <w:ilvl w:val="0"/>
          <w:numId w:val="1"/>
        </w:numPr>
        <w:kinsoku/>
        <w:wordWrap/>
        <w:overflowPunct/>
        <w:topLinePunct w:val="0"/>
        <w:bidi w:val="0"/>
        <w:snapToGrid/>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kern w:val="0"/>
          <w:szCs w:val="21"/>
          <w:highlight w:val="none"/>
        </w:rPr>
        <w:t xml:space="preserve"> </w:t>
      </w:r>
      <w:r>
        <w:rPr>
          <w:rFonts w:hint="eastAsia" w:ascii="宋体" w:hAnsi="宋体" w:cs="宋体"/>
          <w:color w:val="auto"/>
          <w:szCs w:val="21"/>
          <w:highlight w:val="none"/>
        </w:rPr>
        <w:t>除另有约定外，本保险合同的保险费由保险人根据责任限额及被保险人的风险状况确定。</w:t>
      </w:r>
    </w:p>
    <w:p>
      <w:pPr>
        <w:pageBreakBefore w:val="0"/>
        <w:kinsoku/>
        <w:wordWrap/>
        <w:overflowPunct/>
        <w:topLinePunct w:val="0"/>
        <w:bidi w:val="0"/>
        <w:snapToGrid/>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保险人义务</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本保险合同成立后，保险人应当及时向投保人签发保险单或其他保险凭证。</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保险事故发生后，被保险人提供的有关索赔的证明和资料不完整的，保险人应当及时一次性通知投保人、被保险人补充提供。</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保险人收到被保险人的赔偿请求后，应当及时做出核定，并将核定结果通知被保险人。情形复杂的，应当在三十日内做出核定并通知被保险人，对于属于保险责任的，在与被保险人达成有关赔偿金额的协议后十日内，履行赔偿义务。</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保险人按照前款的规定做出核定后，对不属于保险责任的，应当自做出核定之日起三日内向被保险人发出拒绝赔偿保险金通知书，并说明理由。</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保险人自收到赔偿保险金的请求和有关证明、资料之日起六十日内，对其赔偿保险金的数额不能确定的，应当根据已有证明和资料可以确定的数额先予支付；保险人最终确定赔偿的数额后，应当支付相应的差额。 </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被保险人给学生造成损害，被保险人对学生应负的赔偿责任确定的，根据被保险人的请求，保险人应当直接向提出损害赔偿请求的学生支付赔款。</w:t>
      </w:r>
    </w:p>
    <w:p>
      <w:pPr>
        <w:pageBreakBefore w:val="0"/>
        <w:widowControl/>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被保险人怠于提出索赔的，学生有权根据本保险合同就其应获赔偿部分直接向保险人请求赔偿保险金。</w:t>
      </w:r>
    </w:p>
    <w:p>
      <w:pPr>
        <w:pageBreakBefore w:val="0"/>
        <w:widowControl/>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被保险人给学生造成损害，被保险人未向该学生赔偿的，保险人不得向被保险人赔偿保险金。</w:t>
      </w:r>
    </w:p>
    <w:p>
      <w:pPr>
        <w:pageBreakBefore w:val="0"/>
        <w:widowControl/>
        <w:kinsoku/>
        <w:wordWrap/>
        <w:overflowPunct/>
        <w:topLinePunct w:val="0"/>
        <w:bidi w:val="0"/>
        <w:snapToGrid/>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投保人</w:t>
      </w:r>
      <w:r>
        <w:rPr>
          <w:rFonts w:hint="eastAsia" w:ascii="宋体" w:hAnsi="宋体" w:cs="宋体"/>
          <w:b/>
          <w:color w:val="auto"/>
          <w:szCs w:val="21"/>
          <w:highlight w:val="none"/>
        </w:rPr>
        <w:t>、被保险人义务</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订立保险合同，保险人就保险标的或被保险人的有关情况提出询问的，投保人应当如实告知，并如实填写投保单。</w:t>
      </w:r>
    </w:p>
    <w:p>
      <w:pPr>
        <w:pageBreakBefore w:val="0"/>
        <w:widowControl/>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投保人故意或因重大过失未履行前款规定的如实告知义务，足以影响保险人决定是否同意承保或提高保险费率的，保险人有权解除保险合同。</w:t>
      </w:r>
    </w:p>
    <w:p>
      <w:pPr>
        <w:pageBreakBefore w:val="0"/>
        <w:widowControl/>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前款规定的合同解除权，自保险人知道有解除事由之日起，超过三十日不行使而消灭。发生保险事故的，保险人应当承担赔偿保险金的责任。</w:t>
      </w:r>
    </w:p>
    <w:p>
      <w:pPr>
        <w:pageBreakBefore w:val="0"/>
        <w:widowControl/>
        <w:kinsoku/>
        <w:wordWrap/>
        <w:overflowPunct/>
        <w:topLinePunct w:val="0"/>
        <w:bidi w:val="0"/>
        <w:snapToGrid/>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投保人故意不履行如实告知义务的，保险人对于合同解除前发生的保险事故，不承担赔偿保险金的责任，并不退还保险费。</w:t>
      </w:r>
    </w:p>
    <w:p>
      <w:pPr>
        <w:pageBreakBefore w:val="0"/>
        <w:widowControl/>
        <w:kinsoku/>
        <w:wordWrap/>
        <w:overflowPunct/>
        <w:topLinePunct w:val="0"/>
        <w:bidi w:val="0"/>
        <w:snapToGrid/>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投保人因重大过失未履行如实告知义务，对保险事故的发生有严重影响的，保险人对于合同解除前发生的保险事故，不承担赔偿保险金的责任，但应当退还保险费。</w:t>
      </w:r>
    </w:p>
    <w:p>
      <w:pPr>
        <w:pageBreakBefore w:val="0"/>
        <w:widowControl/>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保险人在合同订立时已经知道投保人未如实告知的情况的，保险人不得解除合同；发生保险事故的，保险人应当承担赔偿保险金的责任。</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投保人应按照合同约定缴纳保险费。</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被保险人应当在学生进行必要的安全教育和自护自救教育；严格遵守国家有关法律法规，确保教育教学和生活设施、设备符合安全标准；建立健全安全制度，采取相应的管理措施，预防和消除教育教学环境中存在的安全隐患，加强管理，采取合理的预防措施，尽力避免或减少责任事故的发生。</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在保险合同有效期内，本合同列明的重要事项如学生名单变动导致保险标的危险程度显著增加的，被保险人应当及时书面通知保险人，保险人应及时办理批改手续或调整保险费。</w:t>
      </w:r>
    </w:p>
    <w:p>
      <w:pPr>
        <w:pageBreakBefore w:val="0"/>
        <w:widowControl/>
        <w:kinsoku/>
        <w:wordWrap/>
        <w:overflowPunct/>
        <w:topLinePunct w:val="0"/>
        <w:bidi w:val="0"/>
        <w:snapToGrid/>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被保险人未履行前款约定的通知义务的，因保险标的的危险程度显著增加而发生的保险事故，保险人不承担赔偿保险金的责任。</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保险事故发生时，被保险人应当：</w:t>
      </w:r>
    </w:p>
    <w:p>
      <w:pPr>
        <w:pageBreakBefore w:val="0"/>
        <w:widowControl/>
        <w:kinsoku/>
        <w:wordWrap/>
        <w:overflowPunct/>
        <w:topLinePunct w:val="0"/>
        <w:bidi w:val="0"/>
        <w:snapToGrid/>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（一）尽力采取必要的措施，防止或减少损失；</w:t>
      </w:r>
    </w:p>
    <w:p>
      <w:pPr>
        <w:pageBreakBefore w:val="0"/>
        <w:widowControl/>
        <w:kinsoku/>
        <w:wordWrap/>
        <w:overflowPunct/>
        <w:topLinePunct w:val="0"/>
        <w:bidi w:val="0"/>
        <w:snapToGrid/>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二）及时通知保险人，并书面说明事故发生的原因、经过和损失情况，故意或因重大过失未及时通知，致使保险事故的性质、原因、损失程度等难以确定的，保险人对无法确定的部分，不承担赔偿责任，但保险人通过其他途径已经及时知道或应当及时知道保险事故发生的除外。</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发生保险责任范围内的损失，应由有关责任方负责赔偿的，被保险人应行使或保留向该责任方请求赔偿的权利。</w:t>
      </w:r>
    </w:p>
    <w:p>
      <w:pPr>
        <w:pageBreakBefore w:val="0"/>
        <w:widowControl/>
        <w:kinsoku/>
        <w:wordWrap/>
        <w:overflowPunct/>
        <w:topLinePunct w:val="0"/>
        <w:bidi w:val="0"/>
        <w:snapToGrid/>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保险事故发生后，保险人未赔偿保险金之前，被保险人放弃对有关责任方请求赔偿的权利的，保险人不承担赔偿责任。</w:t>
      </w:r>
    </w:p>
    <w:p>
      <w:pPr>
        <w:pageBreakBefore w:val="0"/>
        <w:widowControl/>
        <w:kinsoku/>
        <w:wordWrap/>
        <w:overflowPunct/>
        <w:topLinePunct w:val="0"/>
        <w:bidi w:val="0"/>
        <w:snapToGrid/>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保险人向被保险人赔偿保险金后，被保险人未经保险人同意放弃对有关责任方请求赔偿的权利的，该行为无效。</w:t>
      </w:r>
    </w:p>
    <w:p>
      <w:pPr>
        <w:pageBreakBefore w:val="0"/>
        <w:widowControl/>
        <w:kinsoku/>
        <w:wordWrap/>
        <w:overflowPunct/>
        <w:topLinePunct w:val="0"/>
        <w:bidi w:val="0"/>
        <w:snapToGrid/>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在保险人向有关责任方行使代位请求赔偿权利时，被保险人应当向保险人提供必要的文件和其所知道的有关情况。</w:t>
      </w:r>
    </w:p>
    <w:p>
      <w:pPr>
        <w:pageBreakBefore w:val="0"/>
        <w:widowControl/>
        <w:kinsoku/>
        <w:wordWrap/>
        <w:overflowPunct/>
        <w:topLinePunct w:val="0"/>
        <w:bidi w:val="0"/>
        <w:snapToGrid/>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由于被保险人的故意或者重大过失致使保险人不能行使代位请求赔偿的权利的，保险人可以扣减或者要求返还相应的保险金。</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未经保险人书面同意，被保险人对学生做出的任何承诺、拒绝、出价、约定、付款或赔偿，保险人不受其约束。对于被保险人自行承诺或支付的赔偿金额，保险人有权重新核定，不属于本保险责任范围或超出责任限额的，保险人不承担赔偿责任。</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被保险人获悉可能发生诉讼、仲裁时，应及时以书面形式通知保险人；接到法院传票或其他法律文书后，应将其副本及时送交保险人。必要时，经被保险人同意，保险人可以以被保险人的名义处理有关诉讼或仲裁事宜，被保险人应提供有关文件并给予必要协助。</w:t>
      </w:r>
    </w:p>
    <w:p>
      <w:pPr>
        <w:pageBreakBefore w:val="0"/>
        <w:widowControl/>
        <w:kinsoku/>
        <w:wordWrap/>
        <w:overflowPunct/>
        <w:topLinePunct w:val="0"/>
        <w:bidi w:val="0"/>
        <w:snapToGrid/>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对因未及时提供上述通知或必要协助导致扩大的损失，保险人不承担赔偿责任。</w:t>
      </w:r>
    </w:p>
    <w:p>
      <w:pPr>
        <w:pageBreakBefore w:val="0"/>
        <w:kinsoku/>
        <w:wordWrap/>
        <w:overflowPunct/>
        <w:topLinePunct w:val="0"/>
        <w:bidi w:val="0"/>
        <w:snapToGrid/>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赔偿处理</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发生保险事故后，保险人的赔偿金额以按照下列方式之一确定的被保险人的经济赔偿责任为依据：</w:t>
      </w:r>
    </w:p>
    <w:p>
      <w:pPr>
        <w:pageBreakBefore w:val="0"/>
        <w:widowControl/>
        <w:kinsoku/>
        <w:wordWrap/>
        <w:overflowPunct/>
        <w:topLinePunct w:val="0"/>
        <w:bidi w:val="0"/>
        <w:snapToGrid/>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（一）保险人认可的赔偿处理机构依据《中华人民共和国侵权责任法》、《中华人民共和国民法通则》等法律法规及本保险合同的约定做出的赔偿决定；</w:t>
      </w:r>
    </w:p>
    <w:p>
      <w:pPr>
        <w:pageBreakBefore w:val="0"/>
        <w:widowControl/>
        <w:kinsoku/>
        <w:wordWrap/>
        <w:overflowPunct/>
        <w:topLinePunct w:val="0"/>
        <w:bidi w:val="0"/>
        <w:snapToGrid/>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（二）人民法院判决、调解或仲裁机构裁决、调解；</w:t>
      </w:r>
    </w:p>
    <w:p>
      <w:pPr>
        <w:pageBreakBefore w:val="0"/>
        <w:widowControl/>
        <w:kinsoku/>
        <w:wordWrap/>
        <w:overflowPunct/>
        <w:topLinePunct w:val="0"/>
        <w:bidi w:val="0"/>
        <w:snapToGrid/>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（三）保险人认可的其他方式。</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被保险人向保险人请求赔偿时，应提交下列单证材料：</w:t>
      </w:r>
    </w:p>
    <w:p>
      <w:pPr>
        <w:pageBreakBefore w:val="0"/>
        <w:widowControl/>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（一）索赔申请书（含事故情况说明）；</w:t>
      </w:r>
    </w:p>
    <w:p>
      <w:pPr>
        <w:pageBreakBefore w:val="0"/>
        <w:widowControl/>
        <w:kinsoku/>
        <w:wordWrap/>
        <w:overflowPunct/>
        <w:topLinePunct w:val="0"/>
        <w:bidi w:val="0"/>
        <w:snapToGrid/>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（二）学生的身份信息以及与被保险人的关系证明；</w:t>
      </w:r>
    </w:p>
    <w:p>
      <w:pPr>
        <w:pageBreakBefore w:val="0"/>
        <w:widowControl/>
        <w:kinsoku/>
        <w:wordWrap/>
        <w:overflowPunct/>
        <w:topLinePunct w:val="0"/>
        <w:bidi w:val="0"/>
        <w:snapToGrid/>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（三）学生病历资料；学生死亡或残疾的，提供相关机构或部门出具的死亡证明或残疾程度证明；</w:t>
      </w:r>
    </w:p>
    <w:p>
      <w:pPr>
        <w:pageBreakBefore w:val="0"/>
        <w:widowControl/>
        <w:kinsoku/>
        <w:wordWrap/>
        <w:overflowPunct/>
        <w:topLinePunct w:val="0"/>
        <w:bidi w:val="0"/>
        <w:snapToGrid/>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（四）保险人认可的赔偿处理机构出具的赔偿决定书、法院判决书、人民法院出具的调解书、仲裁裁决书、仲裁调解书；</w:t>
      </w:r>
    </w:p>
    <w:p>
      <w:pPr>
        <w:pageBreakBefore w:val="0"/>
        <w:widowControl/>
        <w:kinsoku/>
        <w:wordWrap/>
        <w:overflowPunct/>
        <w:topLinePunct w:val="0"/>
        <w:bidi w:val="0"/>
        <w:snapToGrid/>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（五）医疗费发票或可以证明医疗费的其他材料以及依照本保险合同第二十九条应当由被保险人承担的其他费用的证明材料；</w:t>
      </w:r>
    </w:p>
    <w:p>
      <w:pPr>
        <w:pageBreakBefore w:val="0"/>
        <w:widowControl/>
        <w:kinsoku/>
        <w:wordWrap/>
        <w:overflowPunct/>
        <w:topLinePunct w:val="0"/>
        <w:bidi w:val="0"/>
        <w:snapToGrid/>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（六）其他被保险人所能提供的与确认保险事故的性质、原因、损失程度等有关的证明和资料。</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于本保险合同第三条所指经济赔偿责任，保险人根据《最高人民法院关于审理人身损害赔偿案件适用法律若干问题的解释》（以下简称司法解释）计算的赔偿金额乘以被保险人在事故中承担的责任比例在本保险合同列明的责任限额内进行赔偿。赔偿项目及标准如下：</w:t>
      </w:r>
    </w:p>
    <w:p>
      <w:pPr>
        <w:pageBreakBefore w:val="0"/>
        <w:widowControl/>
        <w:kinsoku/>
        <w:wordWrap/>
        <w:overflowPunct/>
        <w:topLinePunct w:val="0"/>
        <w:bidi w:val="0"/>
        <w:snapToGrid/>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（一）造成学生人身损害的，学生进行治疗所发生的各项费用，包括医疗费（含因抢救所支付的医疗费）、护理费、交通费、住宿费、住院伙食补助费、必要的营养费；</w:t>
      </w:r>
    </w:p>
    <w:p>
      <w:pPr>
        <w:pageBreakBefore w:val="0"/>
        <w:widowControl/>
        <w:kinsoku/>
        <w:wordWrap/>
        <w:overflowPunct/>
        <w:topLinePunct w:val="0"/>
        <w:bidi w:val="0"/>
        <w:snapToGrid/>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二）造成学生残疾的，除应赔偿本条（一）中规定的相关费用外，还应赔偿其因增加生活上需要所支出的必要费用以及因丧失劳动能力导致的收入损失，包括残疾赔偿金、残疾辅助器具费、被扶养人生活费，以及因康复护理、继续治疗实际发生的必要的康复费、护理费、后续治疗费；</w:t>
      </w:r>
    </w:p>
    <w:p>
      <w:pPr>
        <w:pageBreakBefore w:val="0"/>
        <w:widowControl/>
        <w:kinsoku/>
        <w:wordWrap/>
        <w:overflowPunct/>
        <w:topLinePunct w:val="0"/>
        <w:bidi w:val="0"/>
        <w:snapToGrid/>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（三）造成学生死亡的，除应当根据抢救治疗情况赔偿本条（一）中规定的相关费用外，还应当赔偿丧葬费、被扶养人生活费、死亡赔偿金以及学生亲属办理丧葬事宜支出的合理的交通费、住宿费和误工损失；</w:t>
      </w:r>
    </w:p>
    <w:p>
      <w:pPr>
        <w:pageBreakBefore w:val="0"/>
        <w:widowControl/>
        <w:kinsoku/>
        <w:wordWrap/>
        <w:overflowPunct/>
        <w:topLinePunct w:val="0"/>
        <w:bidi w:val="0"/>
        <w:snapToGrid/>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（四）造成学生人身损害，经法院判决、调解或保险人认可的赔偿处理机构决定所需支付的精神损害抚慰金；</w:t>
      </w:r>
    </w:p>
    <w:p>
      <w:pPr>
        <w:pageBreakBefore w:val="0"/>
        <w:widowControl/>
        <w:kinsoku/>
        <w:wordWrap/>
        <w:overflowPunct/>
        <w:topLinePunct w:val="0"/>
        <w:bidi w:val="0"/>
        <w:snapToGrid/>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（五）对学生因保险事故残疾的，伤残级别依照《人体损伤致残程度分级》确定；对残疾赔偿金按照下表，即伤残赔偿比例表，规定的伤残赔偿比例乘以《司法解释》规定的对受害人的死亡赔偿金计算。</w:t>
      </w:r>
    </w:p>
    <w:tbl>
      <w:tblPr>
        <w:tblStyle w:val="13"/>
        <w:tblW w:w="7240" w:type="dxa"/>
        <w:jc w:val="center"/>
        <w:tblLayout w:type="fixed"/>
        <w:tblCellMar>
          <w:top w:w="0" w:type="dxa"/>
          <w:left w:w="108" w:type="dxa"/>
          <w:bottom w:w="0" w:type="dxa"/>
          <w:right w:w="108" w:type="dxa"/>
        </w:tblCellMar>
      </w:tblPr>
      <w:tblGrid>
        <w:gridCol w:w="1551"/>
        <w:gridCol w:w="3060"/>
        <w:gridCol w:w="2629"/>
      </w:tblGrid>
      <w:tr>
        <w:tblPrEx>
          <w:tblCellMar>
            <w:top w:w="0" w:type="dxa"/>
            <w:left w:w="108" w:type="dxa"/>
            <w:bottom w:w="0" w:type="dxa"/>
            <w:right w:w="108" w:type="dxa"/>
          </w:tblCellMar>
        </w:tblPrEx>
        <w:trPr>
          <w:trHeight w:val="374" w:hRule="atLeast"/>
          <w:jc w:val="center"/>
        </w:trPr>
        <w:tc>
          <w:tcPr>
            <w:tcW w:w="1551" w:type="dxa"/>
            <w:tcBorders>
              <w:top w:val="single" w:color="000000" w:sz="4" w:space="0"/>
              <w:left w:val="single" w:color="000000" w:sz="4" w:space="0"/>
              <w:bottom w:val="single" w:color="000000" w:sz="4" w:space="0"/>
              <w:right w:val="single" w:color="000000" w:sz="4" w:space="0"/>
            </w:tcBorders>
            <w:shd w:val="clear" w:color="auto" w:fill="F3F3F3"/>
            <w:noWrap w:val="0"/>
            <w:vAlign w:val="center"/>
          </w:tcPr>
          <w:p>
            <w:pPr>
              <w:pageBreakBefore w:val="0"/>
              <w:widowControl/>
              <w:kinsoku/>
              <w:wordWrap/>
              <w:overflowPunct/>
              <w:topLinePunct w:val="0"/>
              <w:bidi w:val="0"/>
              <w:snapToGrid/>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项目</w:t>
            </w:r>
          </w:p>
        </w:tc>
        <w:tc>
          <w:tcPr>
            <w:tcW w:w="3060" w:type="dxa"/>
            <w:tcBorders>
              <w:top w:val="single" w:color="000000" w:sz="4" w:space="0"/>
              <w:left w:val="nil"/>
              <w:bottom w:val="single" w:color="000000" w:sz="4" w:space="0"/>
              <w:right w:val="single" w:color="000000" w:sz="4" w:space="0"/>
            </w:tcBorders>
            <w:shd w:val="clear" w:color="auto" w:fill="F3F3F3"/>
            <w:noWrap w:val="0"/>
            <w:vAlign w:val="center"/>
          </w:tcPr>
          <w:p>
            <w:pPr>
              <w:pageBreakBefore w:val="0"/>
              <w:widowControl/>
              <w:kinsoku/>
              <w:wordWrap/>
              <w:overflowPunct/>
              <w:topLinePunct w:val="0"/>
              <w:bidi w:val="0"/>
              <w:snapToGrid/>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伤残级别</w:t>
            </w:r>
          </w:p>
        </w:tc>
        <w:tc>
          <w:tcPr>
            <w:tcW w:w="2629" w:type="dxa"/>
            <w:tcBorders>
              <w:top w:val="single" w:color="000000" w:sz="4" w:space="0"/>
              <w:left w:val="nil"/>
              <w:bottom w:val="single" w:color="000000" w:sz="4" w:space="0"/>
              <w:right w:val="single" w:color="000000" w:sz="4" w:space="0"/>
            </w:tcBorders>
            <w:shd w:val="clear" w:color="auto" w:fill="F3F3F3"/>
            <w:noWrap w:val="0"/>
            <w:vAlign w:val="center"/>
          </w:tcPr>
          <w:p>
            <w:pPr>
              <w:pageBreakBefore w:val="0"/>
              <w:widowControl/>
              <w:kinsoku/>
              <w:wordWrap/>
              <w:overflowPunct/>
              <w:topLinePunct w:val="0"/>
              <w:bidi w:val="0"/>
              <w:snapToGrid/>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伤残赔偿比例</w:t>
            </w:r>
          </w:p>
        </w:tc>
      </w:tr>
      <w:tr>
        <w:tblPrEx>
          <w:tblCellMar>
            <w:top w:w="0" w:type="dxa"/>
            <w:left w:w="108" w:type="dxa"/>
            <w:bottom w:w="0" w:type="dxa"/>
            <w:right w:w="108" w:type="dxa"/>
          </w:tblCellMar>
        </w:tblPrEx>
        <w:trPr>
          <w:trHeight w:val="374" w:hRule="atLeast"/>
          <w:jc w:val="center"/>
        </w:trPr>
        <w:tc>
          <w:tcPr>
            <w:tcW w:w="15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（一）</w:t>
            </w:r>
          </w:p>
        </w:tc>
        <w:tc>
          <w:tcPr>
            <w:tcW w:w="3060"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Ⅰ级伤残</w:t>
            </w:r>
          </w:p>
        </w:tc>
        <w:tc>
          <w:tcPr>
            <w:tcW w:w="2629"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100％</w:t>
            </w:r>
          </w:p>
        </w:tc>
      </w:tr>
      <w:tr>
        <w:tblPrEx>
          <w:tblCellMar>
            <w:top w:w="0" w:type="dxa"/>
            <w:left w:w="108" w:type="dxa"/>
            <w:bottom w:w="0" w:type="dxa"/>
            <w:right w:w="108" w:type="dxa"/>
          </w:tblCellMar>
        </w:tblPrEx>
        <w:trPr>
          <w:trHeight w:val="374" w:hRule="atLeast"/>
          <w:jc w:val="center"/>
        </w:trPr>
        <w:tc>
          <w:tcPr>
            <w:tcW w:w="15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（二）</w:t>
            </w:r>
          </w:p>
        </w:tc>
        <w:tc>
          <w:tcPr>
            <w:tcW w:w="3060"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Ⅱ级伤残</w:t>
            </w:r>
          </w:p>
        </w:tc>
        <w:tc>
          <w:tcPr>
            <w:tcW w:w="2629"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90％</w:t>
            </w:r>
          </w:p>
        </w:tc>
      </w:tr>
      <w:tr>
        <w:tblPrEx>
          <w:tblCellMar>
            <w:top w:w="0" w:type="dxa"/>
            <w:left w:w="108" w:type="dxa"/>
            <w:bottom w:w="0" w:type="dxa"/>
            <w:right w:w="108" w:type="dxa"/>
          </w:tblCellMar>
        </w:tblPrEx>
        <w:trPr>
          <w:trHeight w:val="374" w:hRule="atLeast"/>
          <w:jc w:val="center"/>
        </w:trPr>
        <w:tc>
          <w:tcPr>
            <w:tcW w:w="15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（三）</w:t>
            </w:r>
          </w:p>
        </w:tc>
        <w:tc>
          <w:tcPr>
            <w:tcW w:w="3060"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Ⅲ级伤残</w:t>
            </w:r>
          </w:p>
        </w:tc>
        <w:tc>
          <w:tcPr>
            <w:tcW w:w="2629"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80％</w:t>
            </w:r>
          </w:p>
        </w:tc>
      </w:tr>
      <w:tr>
        <w:tblPrEx>
          <w:tblCellMar>
            <w:top w:w="0" w:type="dxa"/>
            <w:left w:w="108" w:type="dxa"/>
            <w:bottom w:w="0" w:type="dxa"/>
            <w:right w:w="108" w:type="dxa"/>
          </w:tblCellMar>
        </w:tblPrEx>
        <w:trPr>
          <w:trHeight w:val="374" w:hRule="atLeast"/>
          <w:jc w:val="center"/>
        </w:trPr>
        <w:tc>
          <w:tcPr>
            <w:tcW w:w="15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（四）</w:t>
            </w:r>
          </w:p>
        </w:tc>
        <w:tc>
          <w:tcPr>
            <w:tcW w:w="3060"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Ⅳ级伤残</w:t>
            </w:r>
          </w:p>
        </w:tc>
        <w:tc>
          <w:tcPr>
            <w:tcW w:w="2629"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70％</w:t>
            </w:r>
          </w:p>
        </w:tc>
      </w:tr>
      <w:tr>
        <w:tblPrEx>
          <w:tblCellMar>
            <w:top w:w="0" w:type="dxa"/>
            <w:left w:w="108" w:type="dxa"/>
            <w:bottom w:w="0" w:type="dxa"/>
            <w:right w:w="108" w:type="dxa"/>
          </w:tblCellMar>
        </w:tblPrEx>
        <w:trPr>
          <w:trHeight w:val="374" w:hRule="atLeast"/>
          <w:jc w:val="center"/>
        </w:trPr>
        <w:tc>
          <w:tcPr>
            <w:tcW w:w="15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（五）</w:t>
            </w:r>
          </w:p>
        </w:tc>
        <w:tc>
          <w:tcPr>
            <w:tcW w:w="3060"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Ⅴ级伤残</w:t>
            </w:r>
          </w:p>
        </w:tc>
        <w:tc>
          <w:tcPr>
            <w:tcW w:w="2629"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60％</w:t>
            </w:r>
          </w:p>
        </w:tc>
      </w:tr>
      <w:tr>
        <w:tblPrEx>
          <w:tblCellMar>
            <w:top w:w="0" w:type="dxa"/>
            <w:left w:w="108" w:type="dxa"/>
            <w:bottom w:w="0" w:type="dxa"/>
            <w:right w:w="108" w:type="dxa"/>
          </w:tblCellMar>
        </w:tblPrEx>
        <w:trPr>
          <w:trHeight w:val="374" w:hRule="atLeast"/>
          <w:jc w:val="center"/>
        </w:trPr>
        <w:tc>
          <w:tcPr>
            <w:tcW w:w="15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（六）</w:t>
            </w:r>
          </w:p>
        </w:tc>
        <w:tc>
          <w:tcPr>
            <w:tcW w:w="3060"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Ⅵ级伤残</w:t>
            </w:r>
          </w:p>
        </w:tc>
        <w:tc>
          <w:tcPr>
            <w:tcW w:w="2629"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50％</w:t>
            </w:r>
          </w:p>
        </w:tc>
      </w:tr>
      <w:tr>
        <w:trPr>
          <w:trHeight w:val="374" w:hRule="atLeast"/>
          <w:jc w:val="center"/>
        </w:trPr>
        <w:tc>
          <w:tcPr>
            <w:tcW w:w="15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（七）</w:t>
            </w:r>
          </w:p>
        </w:tc>
        <w:tc>
          <w:tcPr>
            <w:tcW w:w="3060"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Ⅶ级伤残</w:t>
            </w:r>
          </w:p>
        </w:tc>
        <w:tc>
          <w:tcPr>
            <w:tcW w:w="2629"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40％</w:t>
            </w:r>
          </w:p>
        </w:tc>
      </w:tr>
      <w:tr>
        <w:tblPrEx>
          <w:tblCellMar>
            <w:top w:w="0" w:type="dxa"/>
            <w:left w:w="108" w:type="dxa"/>
            <w:bottom w:w="0" w:type="dxa"/>
            <w:right w:w="108" w:type="dxa"/>
          </w:tblCellMar>
        </w:tblPrEx>
        <w:trPr>
          <w:trHeight w:val="374" w:hRule="atLeast"/>
          <w:jc w:val="center"/>
        </w:trPr>
        <w:tc>
          <w:tcPr>
            <w:tcW w:w="15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（八）</w:t>
            </w:r>
          </w:p>
        </w:tc>
        <w:tc>
          <w:tcPr>
            <w:tcW w:w="3060"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Ⅷ级伤残</w:t>
            </w:r>
          </w:p>
        </w:tc>
        <w:tc>
          <w:tcPr>
            <w:tcW w:w="2629"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30％</w:t>
            </w:r>
          </w:p>
        </w:tc>
      </w:tr>
      <w:tr>
        <w:trPr>
          <w:trHeight w:val="374" w:hRule="atLeast"/>
          <w:jc w:val="center"/>
        </w:trPr>
        <w:tc>
          <w:tcPr>
            <w:tcW w:w="15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（九）</w:t>
            </w:r>
          </w:p>
        </w:tc>
        <w:tc>
          <w:tcPr>
            <w:tcW w:w="3060"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Ⅸ级伤残</w:t>
            </w:r>
          </w:p>
        </w:tc>
        <w:tc>
          <w:tcPr>
            <w:tcW w:w="2629"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w:t>
            </w:r>
          </w:p>
        </w:tc>
      </w:tr>
      <w:tr>
        <w:tblPrEx>
          <w:tblCellMar>
            <w:top w:w="0" w:type="dxa"/>
            <w:left w:w="108" w:type="dxa"/>
            <w:bottom w:w="0" w:type="dxa"/>
            <w:right w:w="108" w:type="dxa"/>
          </w:tblCellMar>
        </w:tblPrEx>
        <w:trPr>
          <w:trHeight w:val="381" w:hRule="atLeast"/>
          <w:jc w:val="center"/>
        </w:trPr>
        <w:tc>
          <w:tcPr>
            <w:tcW w:w="155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（十）</w:t>
            </w:r>
          </w:p>
        </w:tc>
        <w:tc>
          <w:tcPr>
            <w:tcW w:w="3060"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Ⅹ级伤残</w:t>
            </w:r>
          </w:p>
        </w:tc>
        <w:tc>
          <w:tcPr>
            <w:tcW w:w="2629" w:type="dxa"/>
            <w:tcBorders>
              <w:top w:val="single" w:color="000000" w:sz="4" w:space="0"/>
              <w:left w:val="nil"/>
              <w:bottom w:val="single" w:color="000000" w:sz="4" w:space="0"/>
              <w:right w:val="single" w:color="000000" w:sz="4" w:space="0"/>
            </w:tcBorders>
            <w:noWrap w:val="0"/>
            <w:vAlign w:val="center"/>
          </w:tcPr>
          <w:p>
            <w:pPr>
              <w:pageBreakBefore w:val="0"/>
              <w:widowControl/>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r>
    </w:tbl>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于医疗费用的赔偿，如果受害人的损失能够从重复保险以外的其他途径获得全额或部分医疗费用及其他相关费用赔偿的，则本保险按照学生的全部损失金额乘以被保险人承担的责任比例进行赔偿，不扣减其他途径已赔付金额。但学生从本保险合同及其他途径获得的医疗费用及其他相关费用赔偿总和不得超过其医疗费用及其他相关费用损失金额。</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保险人对每次事故每名学生医疗费用赔偿金额在每次事故每人医疗费用责任限额内赔偿。保险人对每次事故每名学生精神损害抚慰金在每次事故每人精神损害抚慰金责任限额内赔偿。保险人对每次事故每名学生的赔偿金额总和不超过每次事故每人责任限额，且在每次事故责任限额以内计算赔偿。保险人对每次事故各项损失的赔偿金额之和不超过每次事故责任限额。保险人对多次事故各项损失的赔偿金额之和不超过累计责任限额。</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生保险事故后，保险人所承担的本保险合同第五条项下的每名学生施救费用按被保险人应当承担的责任比例在保险标的损失赔偿金额以外另行计算，最高不超过每次事故每人施救费用责任限额。被保险人可以从本保险合同第二十九条项下列明的赔偿项目中获得的赔偿金额不属于施救费用的赔偿范围。</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生保险事故后，保险人所承担的法律费用在保险合同列明的每次事故法律费用责任限额内根据实际发生的费用金额进行赔偿。保险人对多次事故法律费用的赔偿金额之和不超过累计法律费用责任限额。每次事故法律费用责任限额及累计法律费用责任限额均在累计责任限额以外计算。</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发生保险事故时，如存在重复保险，则本保险人按照本保险合同的责任限额与所有有关保险合同项下的责任限额总和的比例承担赔偿责任。</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pageBreakBefore w:val="0"/>
        <w:widowControl/>
        <w:kinsoku/>
        <w:wordWrap/>
        <w:overflowPunct/>
        <w:topLinePunct w:val="0"/>
        <w:bidi w:val="0"/>
        <w:snapToGrid/>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被保险人已经从有关责任方取得赔偿的，保险人赔偿保险金时，可以相应扣减被保险人已从有关责任方取得的赔偿金额。</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被保险人向保险人请求赔偿保险金的诉讼时效期间为二年，自其知道或者应当知道保险事故发生之日起计算。</w:t>
      </w:r>
    </w:p>
    <w:p>
      <w:pPr>
        <w:pageBreakBefore w:val="0"/>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争议处理</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因履行本保险合同发生的争议，由当事人协商解决。当事人协商不成的，提交保险单载明的仲裁机构仲裁；保险单未载明仲裁机构或争议发生后未达成仲裁协议的，依法向中华人民共和国人民法院起诉。</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本保险合同的争议处理适用中华人民共和国法律。</w:t>
      </w:r>
    </w:p>
    <w:p>
      <w:pPr>
        <w:pageBreakBefore w:val="0"/>
        <w:widowControl/>
        <w:kinsoku/>
        <w:wordWrap/>
        <w:overflowPunct/>
        <w:topLinePunct w:val="0"/>
        <w:bidi w:val="0"/>
        <w:snapToGrid/>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其他</w:t>
      </w:r>
      <w:r>
        <w:rPr>
          <w:rFonts w:hint="eastAsia" w:ascii="宋体" w:hAnsi="宋体" w:cs="宋体"/>
          <w:b/>
          <w:color w:val="auto"/>
          <w:kern w:val="0"/>
          <w:szCs w:val="21"/>
          <w:highlight w:val="none"/>
        </w:rPr>
        <w:t>事项</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除本保险合同约定外，本保险合同成立后，保险人不得解除本保险合同。</w:t>
      </w:r>
    </w:p>
    <w:p>
      <w:pPr>
        <w:pageBreakBefore w:val="0"/>
        <w:widowControl/>
        <w:numPr>
          <w:ilvl w:val="0"/>
          <w:numId w:val="1"/>
        </w:numPr>
        <w:kinsoku/>
        <w:wordWrap/>
        <w:overflowPunct/>
        <w:topLinePunct w:val="0"/>
        <w:bidi w:val="0"/>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保险责任开始前，投保人或保险人要求解除保险合同的，保险人应当退还全部保险费。保险责任开始后，投保人要求解除保险合同的，自通知保险人之日起，保险合同解除，保险人应向投保人退还未满期保险费。</w:t>
      </w:r>
    </w:p>
    <w:p>
      <w:pPr>
        <w:pageBreakBefore w:val="0"/>
        <w:tabs>
          <w:tab w:val="left" w:pos="993"/>
        </w:tabs>
        <w:kinsoku/>
        <w:wordWrap/>
        <w:overflowPunct/>
        <w:topLinePunct w:val="0"/>
        <w:bidi w:val="0"/>
        <w:snapToGrid/>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定义</w:t>
      </w:r>
    </w:p>
    <w:p>
      <w:pPr>
        <w:pageBreakBefore w:val="0"/>
        <w:kinsoku/>
        <w:wordWrap/>
        <w:overflowPunct/>
        <w:topLinePunct w:val="0"/>
        <w:bidi w:val="0"/>
        <w:snapToGrid/>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学生：</w:t>
      </w:r>
      <w:r>
        <w:rPr>
          <w:rFonts w:hint="eastAsia" w:ascii="宋体" w:hAnsi="宋体" w:cs="宋体"/>
          <w:color w:val="auto"/>
          <w:szCs w:val="21"/>
          <w:highlight w:val="none"/>
        </w:rPr>
        <w:t>指在本保险合同中载明的，在被保险人处注册就读的受教育者。</w:t>
      </w:r>
    </w:p>
    <w:p>
      <w:pPr>
        <w:pageBreakBefore w:val="0"/>
        <w:kinsoku/>
        <w:wordWrap/>
        <w:overflowPunct/>
        <w:topLinePunct w:val="0"/>
        <w:bidi w:val="0"/>
        <w:snapToGrid/>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中华人民共和国法律：</w:t>
      </w:r>
      <w:r>
        <w:rPr>
          <w:rFonts w:hint="eastAsia" w:ascii="宋体" w:hAnsi="宋体" w:cs="宋体"/>
          <w:color w:val="auto"/>
          <w:szCs w:val="21"/>
          <w:highlight w:val="none"/>
        </w:rPr>
        <w:t>指法律、行政法规、地方性法规、自治条例和单行条例、司法解释等，但不包括港、澳、台地区法律。</w:t>
      </w:r>
    </w:p>
    <w:p>
      <w:pPr>
        <w:pageBreakBefore w:val="0"/>
        <w:kinsoku/>
        <w:wordWrap/>
        <w:overflowPunct/>
        <w:topLinePunct w:val="0"/>
        <w:bidi w:val="0"/>
        <w:snapToGrid/>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研学旅行：</w:t>
      </w:r>
      <w:r>
        <w:rPr>
          <w:rFonts w:hint="eastAsia" w:ascii="宋体" w:hAnsi="宋体" w:cs="宋体"/>
          <w:color w:val="auto"/>
          <w:szCs w:val="21"/>
          <w:highlight w:val="none"/>
        </w:rPr>
        <w:t>指学校有计划地组织安排，通过集体旅行、集中食宿方式开展的研究学习和旅行体验相结合的校外教育活动。</w:t>
      </w:r>
    </w:p>
    <w:p>
      <w:pPr>
        <w:pageBreakBefore w:val="0"/>
        <w:kinsoku/>
        <w:wordWrap/>
        <w:overflowPunct/>
        <w:topLinePunct w:val="0"/>
        <w:bidi w:val="0"/>
        <w:snapToGrid/>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自然灾害：</w:t>
      </w:r>
      <w:r>
        <w:rPr>
          <w:rFonts w:hint="eastAsia" w:ascii="宋体" w:hAnsi="宋体" w:cs="宋体"/>
          <w:color w:val="auto"/>
          <w:szCs w:val="21"/>
          <w:highlight w:val="none"/>
        </w:rPr>
        <w:t>指雷击、暴雨、地震、洪水、暴风、龙卷风、冰雹、台风、飓风、沙尘暴、暴雪、冰凌、突发性滑坡、崩塌、泥石流、地面突然下陷下沉及其他人力不可抗拒的破坏力强大的自然现象。</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其中，暴风：根据气象部门制定的风力级表规定，暴风是指风速在28.3米/秒以上，即相当于风力等级表中的11级以上的风力。</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暴雨：是指每小时降雨量达到16毫米以上，或连续12小时降雨量达到30毫米以上，或连续24小时降雨量达到50毫米以上。</w:t>
      </w:r>
    </w:p>
    <w:p>
      <w:pPr>
        <w:pageBreakBefore w:val="0"/>
        <w:kinsoku/>
        <w:wordWrap/>
        <w:overflowPunct/>
        <w:topLinePunct w:val="0"/>
        <w:bidi w:val="0"/>
        <w:snapToGrid/>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特异体质：</w:t>
      </w:r>
      <w:r>
        <w:rPr>
          <w:rFonts w:hint="eastAsia" w:ascii="宋体" w:hAnsi="宋体" w:cs="宋体"/>
          <w:color w:val="auto"/>
          <w:szCs w:val="21"/>
          <w:highlight w:val="none"/>
        </w:rPr>
        <w:t>指体质状况不同于常人，例如对药物、食物、油漆、花粉过敏等。通常分为：过敏体质,指有的人对药物反应高于一般人,其中一部分是由遗传因素所致,称为特异体质；另一部分则是由免疫系统参与而形成的差异,称为变态反应。</w:t>
      </w:r>
    </w:p>
    <w:p>
      <w:pPr>
        <w:pageBreakBefore w:val="0"/>
        <w:kinsoku/>
        <w:wordWrap/>
        <w:overflowPunct/>
        <w:topLinePunct w:val="0"/>
        <w:bidi w:val="0"/>
        <w:snapToGrid/>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特定疾病：</w:t>
      </w:r>
      <w:r>
        <w:rPr>
          <w:rFonts w:hint="eastAsia" w:ascii="宋体" w:hAnsi="宋体" w:cs="宋体"/>
          <w:color w:val="auto"/>
          <w:szCs w:val="21"/>
          <w:highlight w:val="none"/>
        </w:rPr>
        <w:t>指非危及生命的恶性病变，包括先天心脏病、脑血管疾病、肺结核、哮喘、肺炎、肾炎、轻微脑中风、精神病、癫痫、血液系统疾病等。</w:t>
      </w:r>
    </w:p>
    <w:p>
      <w:pPr>
        <w:pageBreakBefore w:val="0"/>
        <w:kinsoku/>
        <w:wordWrap/>
        <w:overflowPunct/>
        <w:topLinePunct w:val="0"/>
        <w:bidi w:val="0"/>
        <w:snapToGrid/>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异常心理状态：</w:t>
      </w:r>
      <w:r>
        <w:rPr>
          <w:rFonts w:hint="eastAsia" w:ascii="宋体" w:hAnsi="宋体" w:cs="宋体"/>
          <w:color w:val="auto"/>
          <w:szCs w:val="21"/>
          <w:highlight w:val="none"/>
        </w:rPr>
        <w:t>指在大脑生理生化功能障碍和人与客观现实关系失调的基础上产生的对客观现实的歪曲的反映，如因学习困难、失恋、违纪等问题导致的异常言行。</w:t>
      </w:r>
    </w:p>
    <w:p>
      <w:pPr>
        <w:pageBreakBefore w:val="0"/>
        <w:kinsoku/>
        <w:wordWrap/>
        <w:overflowPunct/>
        <w:topLinePunct w:val="0"/>
        <w:bidi w:val="0"/>
        <w:snapToGrid/>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性侵害：</w:t>
      </w:r>
      <w:r>
        <w:rPr>
          <w:rFonts w:hint="eastAsia" w:ascii="宋体" w:hAnsi="宋体" w:cs="宋体"/>
          <w:color w:val="auto"/>
          <w:szCs w:val="21"/>
          <w:highlight w:val="none"/>
        </w:rPr>
        <w:t>指第三者以权威、暴力、金钱或甜言蜜语，引诱、胁迫、欺骗未成年人与其发生性活动，性活动包括：猥亵、乱伦、强暴、性交易、媒介卖淫等。</w:t>
      </w:r>
    </w:p>
    <w:p>
      <w:pPr>
        <w:pageBreakBefore w:val="0"/>
        <w:kinsoku/>
        <w:wordWrap/>
        <w:overflowPunct/>
        <w:topLinePunct w:val="0"/>
        <w:bidi w:val="0"/>
        <w:snapToGrid/>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实习：</w:t>
      </w:r>
      <w:r>
        <w:rPr>
          <w:rFonts w:hint="eastAsia" w:ascii="宋体" w:hAnsi="宋体" w:cs="宋体"/>
          <w:color w:val="auto"/>
          <w:szCs w:val="21"/>
          <w:highlight w:val="none"/>
        </w:rPr>
        <w:t>指被保险人按照专业培养目标要求和教学计划的安排，组织学生到企业等用人单位实训、学习，安排学生实际动手操作、参与企业技术创新和工程开发一种社会实践活动。</w:t>
      </w:r>
    </w:p>
    <w:p>
      <w:pPr>
        <w:pageBreakBefore w:val="0"/>
        <w:kinsoku/>
        <w:wordWrap/>
        <w:overflowPunct/>
        <w:topLinePunct w:val="0"/>
        <w:bidi w:val="0"/>
        <w:snapToGrid/>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每次事故：</w:t>
      </w:r>
      <w:r>
        <w:rPr>
          <w:rFonts w:hint="eastAsia" w:ascii="宋体" w:hAnsi="宋体" w:cs="宋体"/>
          <w:color w:val="auto"/>
          <w:szCs w:val="21"/>
          <w:highlight w:val="none"/>
        </w:rPr>
        <w:t>指一次意外事故或者同一突发性事件引起的一系列意外事故。因同一意外事故造成多人人身伤亡或财产损失，导致多人同时或先后向被保险人索赔的，视为一次事故，在本保险合同中简称为每次事故。</w:t>
      </w:r>
    </w:p>
    <w:p>
      <w:pPr>
        <w:pageBreakBefore w:val="0"/>
        <w:kinsoku/>
        <w:wordWrap/>
        <w:overflowPunct/>
        <w:topLinePunct w:val="0"/>
        <w:bidi w:val="0"/>
        <w:snapToGrid/>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br w:type="page"/>
      </w:r>
    </w:p>
    <w:p>
      <w:pPr>
        <w:pageBreakBefore w:val="0"/>
        <w:kinsoku/>
        <w:wordWrap/>
        <w:overflowPunct/>
        <w:topLinePunct w:val="0"/>
        <w:bidi w:val="0"/>
        <w:snapToGrid/>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校（园）方责任保险扩展条款</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（注：扩展条款不需要投保人另行缴费，投保人投保基本险即获得下述所有扩展条款保险保障。）</w:t>
      </w:r>
    </w:p>
    <w:p>
      <w:pPr>
        <w:pStyle w:val="12"/>
        <w:pageBreakBefore w:val="0"/>
        <w:kinsoku/>
        <w:wordWrap/>
        <w:overflowPunct/>
        <w:topLinePunct w:val="0"/>
        <w:bidi w:val="0"/>
        <w:snapToGrid/>
        <w:spacing w:before="0" w:beforeAutospacing="0" w:after="0" w:afterAutospacing="0" w:line="360" w:lineRule="auto"/>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一、</w:t>
      </w:r>
      <w:r>
        <w:rPr>
          <w:rFonts w:hint="eastAsia" w:ascii="宋体" w:hAnsi="宋体" w:eastAsia="宋体" w:cs="宋体"/>
          <w:b/>
          <w:bCs/>
          <w:color w:val="auto"/>
          <w:sz w:val="21"/>
          <w:szCs w:val="21"/>
          <w:highlight w:val="none"/>
        </w:rPr>
        <w:t>扩展</w:t>
      </w:r>
      <w:r>
        <w:rPr>
          <w:rFonts w:hint="eastAsia" w:ascii="宋体" w:hAnsi="宋体" w:eastAsia="宋体" w:cs="宋体"/>
          <w:b/>
          <w:color w:val="auto"/>
          <w:kern w:val="2"/>
          <w:sz w:val="21"/>
          <w:szCs w:val="21"/>
          <w:highlight w:val="none"/>
        </w:rPr>
        <w:t>财产损失保险条款</w:t>
      </w:r>
    </w:p>
    <w:p>
      <w:pPr>
        <w:pageBreakBefore w:val="0"/>
        <w:kinsoku/>
        <w:wordWrap/>
        <w:overflowPunct/>
        <w:topLinePunct w:val="0"/>
        <w:bidi w:val="0"/>
        <w:snapToGrid/>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保险责任</w:t>
      </w:r>
    </w:p>
    <w:p>
      <w:pPr>
        <w:pageBreakBefore w:val="0"/>
        <w:widowControl/>
        <w:kinsoku/>
        <w:wordWrap/>
        <w:overflowPunct/>
        <w:topLinePunct w:val="0"/>
        <w:bidi w:val="0"/>
        <w:snapToGrid/>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第一条 </w:t>
      </w:r>
      <w:r>
        <w:rPr>
          <w:rFonts w:hint="eastAsia" w:ascii="宋体" w:hAnsi="宋体" w:cs="宋体"/>
          <w:color w:val="auto"/>
          <w:szCs w:val="21"/>
          <w:highlight w:val="none"/>
        </w:rPr>
        <w:t>在保险期间内，在被保险人的在校活动中或由被保险人统一组织或安排的活动过程中发生意外事故导致学生遭受财产损失，依法应由被保险人承担的经济赔偿责任，保险人按照本保险合同的约定负责赔偿。</w:t>
      </w:r>
    </w:p>
    <w:p>
      <w:pPr>
        <w:pageBreakBefore w:val="0"/>
        <w:kinsoku/>
        <w:wordWrap/>
        <w:overflowPunct/>
        <w:topLinePunct w:val="0"/>
        <w:bidi w:val="0"/>
        <w:snapToGrid/>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责任免除</w:t>
      </w:r>
    </w:p>
    <w:p>
      <w:pPr>
        <w:pageBreakBefore w:val="0"/>
        <w:widowControl/>
        <w:kinsoku/>
        <w:wordWrap/>
        <w:overflowPunct/>
        <w:topLinePunct w:val="0"/>
        <w:bidi w:val="0"/>
        <w:snapToGrid/>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 xml:space="preserve">第二条 </w:t>
      </w:r>
      <w:r>
        <w:rPr>
          <w:rFonts w:hint="eastAsia" w:ascii="宋体" w:hAnsi="宋体" w:cs="宋体"/>
          <w:bCs/>
          <w:color w:val="auto"/>
          <w:szCs w:val="21"/>
          <w:highlight w:val="none"/>
        </w:rPr>
        <w:t>下列损失、费用和责任，保险人不负责赔偿：</w:t>
      </w:r>
    </w:p>
    <w:p>
      <w:pPr>
        <w:pageBreakBefore w:val="0"/>
        <w:widowControl/>
        <w:kinsoku/>
        <w:wordWrap/>
        <w:overflowPunct/>
        <w:topLinePunct w:val="0"/>
        <w:bidi w:val="0"/>
        <w:snapToGrid/>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（一）金银、首饰、珠宝、文物、软件、数据、现金、信用卡、票据、单证、有价证券、文件、帐册、技术资料及其他不易鉴定价值的财产；</w:t>
      </w:r>
    </w:p>
    <w:p>
      <w:pPr>
        <w:pageBreakBefore w:val="0"/>
        <w:widowControl/>
        <w:kinsoku/>
        <w:wordWrap/>
        <w:overflowPunct/>
        <w:topLinePunct w:val="0"/>
        <w:bidi w:val="0"/>
        <w:snapToGrid/>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（二）任何间接损失。</w:t>
      </w:r>
    </w:p>
    <w:p>
      <w:pPr>
        <w:pageBreakBefore w:val="0"/>
        <w:widowControl/>
        <w:kinsoku/>
        <w:wordWrap/>
        <w:overflowPunct/>
        <w:topLinePunct w:val="0"/>
        <w:bidi w:val="0"/>
        <w:snapToGrid/>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责任限额与免赔额</w:t>
      </w:r>
    </w:p>
    <w:p>
      <w:pPr>
        <w:pageBreakBefore w:val="0"/>
        <w:widowControl/>
        <w:kinsoku/>
        <w:wordWrap/>
        <w:overflowPunct/>
        <w:topLinePunct w:val="0"/>
        <w:bidi w:val="0"/>
        <w:snapToGrid/>
        <w:spacing w:line="360" w:lineRule="auto"/>
        <w:ind w:firstLine="422" w:firstLineChars="200"/>
        <w:rPr>
          <w:rFonts w:hint="eastAsia" w:ascii="宋体" w:hAnsi="宋体" w:cs="宋体"/>
          <w:color w:val="auto"/>
          <w:kern w:val="0"/>
          <w:szCs w:val="21"/>
          <w:highlight w:val="none"/>
        </w:rPr>
      </w:pPr>
      <w:r>
        <w:rPr>
          <w:rFonts w:hint="eastAsia" w:ascii="宋体" w:hAnsi="宋体" w:cs="宋体"/>
          <w:b/>
          <w:color w:val="auto"/>
          <w:szCs w:val="21"/>
          <w:highlight w:val="none"/>
        </w:rPr>
        <w:t xml:space="preserve">第三条 </w:t>
      </w:r>
      <w:r>
        <w:rPr>
          <w:rFonts w:hint="eastAsia" w:ascii="宋体" w:hAnsi="宋体" w:cs="宋体"/>
          <w:color w:val="auto"/>
          <w:szCs w:val="21"/>
          <w:highlight w:val="none"/>
        </w:rPr>
        <w:t>本保险合同所指责任限额为每次事故每人财产损失责任限额</w:t>
      </w:r>
      <w:r>
        <w:rPr>
          <w:rFonts w:hint="eastAsia" w:ascii="宋体" w:hAnsi="宋体" w:cs="宋体"/>
          <w:color w:val="auto"/>
          <w:kern w:val="0"/>
          <w:szCs w:val="21"/>
          <w:highlight w:val="none"/>
        </w:rPr>
        <w:t>。</w:t>
      </w:r>
      <w:r>
        <w:rPr>
          <w:rFonts w:hint="eastAsia" w:ascii="宋体" w:hAnsi="宋体" w:cs="宋体"/>
          <w:color w:val="auto"/>
          <w:szCs w:val="21"/>
          <w:highlight w:val="none"/>
        </w:rPr>
        <w:t>每次事故每人财产损失责任限额包含在基本险每次事故每人责任限额里面。</w:t>
      </w:r>
    </w:p>
    <w:p>
      <w:pPr>
        <w:pageBreakBefore w:val="0"/>
        <w:widowControl/>
        <w:kinsoku/>
        <w:wordWrap/>
        <w:overflowPunct/>
        <w:topLinePunct w:val="0"/>
        <w:bidi w:val="0"/>
        <w:snapToGrid/>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szCs w:val="21"/>
          <w:highlight w:val="none"/>
        </w:rPr>
        <w:t xml:space="preserve">第四条 </w:t>
      </w:r>
      <w:r>
        <w:rPr>
          <w:rFonts w:hint="eastAsia" w:ascii="宋体" w:hAnsi="宋体" w:cs="宋体"/>
          <w:color w:val="auto"/>
          <w:kern w:val="0"/>
          <w:szCs w:val="21"/>
          <w:highlight w:val="none"/>
        </w:rPr>
        <w:t>免赔额由投保人与保险人在签订保险合协商确定，并在保险单中载明。</w:t>
      </w:r>
    </w:p>
    <w:p>
      <w:pPr>
        <w:pStyle w:val="12"/>
        <w:pageBreakBefore w:val="0"/>
        <w:kinsoku/>
        <w:wordWrap/>
        <w:overflowPunct/>
        <w:topLinePunct w:val="0"/>
        <w:bidi w:val="0"/>
        <w:snapToGrid/>
        <w:spacing w:before="0" w:beforeAutospacing="0" w:after="0" w:afterAutospacing="0" w:line="360" w:lineRule="auto"/>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二、</w:t>
      </w:r>
      <w:r>
        <w:rPr>
          <w:rFonts w:hint="eastAsia" w:ascii="宋体" w:hAnsi="宋体" w:eastAsia="宋体" w:cs="宋体"/>
          <w:b/>
          <w:bCs/>
          <w:color w:val="auto"/>
          <w:sz w:val="21"/>
          <w:szCs w:val="21"/>
          <w:highlight w:val="none"/>
        </w:rPr>
        <w:t>扩展</w:t>
      </w:r>
      <w:r>
        <w:rPr>
          <w:rFonts w:hint="eastAsia" w:ascii="宋体" w:hAnsi="宋体" w:eastAsia="宋体" w:cs="宋体"/>
          <w:b/>
          <w:color w:val="auto"/>
          <w:kern w:val="2"/>
          <w:sz w:val="21"/>
          <w:szCs w:val="21"/>
          <w:highlight w:val="none"/>
        </w:rPr>
        <w:t>交流生保险条款</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保险期间内，在被保险人的在校活动中或由被保险人统一组织或安排的活动过程中，因发生基本险约定的保险事故造成至被保险人进行校际交流活动的外校生遭受人身损害，依法应由被保险人承担的经济赔偿责任，保险人按照保险合同的约定负责赔偿。</w:t>
      </w:r>
    </w:p>
    <w:p>
      <w:pPr>
        <w:pStyle w:val="12"/>
        <w:pageBreakBefore w:val="0"/>
        <w:kinsoku/>
        <w:wordWrap/>
        <w:overflowPunct/>
        <w:topLinePunct w:val="0"/>
        <w:bidi w:val="0"/>
        <w:snapToGrid/>
        <w:spacing w:before="0" w:beforeAutospacing="0" w:after="0" w:afterAutospacing="0" w:line="360" w:lineRule="auto"/>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三、</w:t>
      </w:r>
      <w:r>
        <w:rPr>
          <w:rFonts w:hint="eastAsia" w:ascii="宋体" w:hAnsi="宋体" w:eastAsia="宋体" w:cs="宋体"/>
          <w:b/>
          <w:bCs/>
          <w:color w:val="auto"/>
          <w:sz w:val="21"/>
          <w:szCs w:val="21"/>
          <w:highlight w:val="none"/>
        </w:rPr>
        <w:t>扩展</w:t>
      </w:r>
      <w:r>
        <w:rPr>
          <w:rFonts w:hint="eastAsia" w:ascii="宋体" w:hAnsi="宋体" w:eastAsia="宋体" w:cs="宋体"/>
          <w:b/>
          <w:color w:val="auto"/>
          <w:kern w:val="2"/>
          <w:sz w:val="21"/>
          <w:szCs w:val="21"/>
          <w:highlight w:val="none"/>
        </w:rPr>
        <w:t>自然灾害及不可抗力保险条款</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在保险期间内，在被保险人的在校活动中或由被保险人统一组织或安排的活动过程中，因发生</w:t>
      </w:r>
      <w:r>
        <w:rPr>
          <w:rFonts w:hint="eastAsia" w:ascii="宋体" w:hAnsi="宋体" w:cs="宋体"/>
          <w:color w:val="auto"/>
          <w:kern w:val="0"/>
          <w:szCs w:val="21"/>
          <w:highlight w:val="none"/>
        </w:rPr>
        <w:t>暴风、暴雨、崖崩、雷击、洪水、龙卷风、飑线、台风(热带风暴)、海啸、泥石流、突发性滑坡、冰雹灾害等自然灾害及不可抗力</w:t>
      </w:r>
      <w:r>
        <w:rPr>
          <w:rFonts w:hint="eastAsia" w:ascii="宋体" w:hAnsi="宋体" w:cs="宋体"/>
          <w:color w:val="auto"/>
          <w:szCs w:val="21"/>
          <w:highlight w:val="none"/>
        </w:rPr>
        <w:t>造成学生遭受人身损害，依法应由被保险人承担的经济赔偿责任，保险人按照保险合同的约定负责赔偿。</w:t>
      </w:r>
    </w:p>
    <w:p>
      <w:pPr>
        <w:pStyle w:val="12"/>
        <w:pageBreakBefore w:val="0"/>
        <w:kinsoku/>
        <w:wordWrap/>
        <w:overflowPunct/>
        <w:topLinePunct w:val="0"/>
        <w:bidi w:val="0"/>
        <w:snapToGrid/>
        <w:spacing w:before="0" w:beforeAutospacing="0" w:after="0" w:afterAutospacing="0" w:line="360" w:lineRule="auto"/>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四、</w:t>
      </w:r>
      <w:r>
        <w:rPr>
          <w:rFonts w:hint="eastAsia" w:ascii="宋体" w:hAnsi="宋体" w:eastAsia="宋体" w:cs="宋体"/>
          <w:b/>
          <w:bCs/>
          <w:color w:val="auto"/>
          <w:sz w:val="21"/>
          <w:szCs w:val="21"/>
          <w:highlight w:val="none"/>
        </w:rPr>
        <w:t>扩展</w:t>
      </w:r>
      <w:r>
        <w:rPr>
          <w:rFonts w:hint="eastAsia" w:ascii="宋体" w:hAnsi="宋体" w:eastAsia="宋体" w:cs="宋体"/>
          <w:b/>
          <w:color w:val="auto"/>
          <w:kern w:val="2"/>
          <w:sz w:val="21"/>
          <w:szCs w:val="21"/>
          <w:highlight w:val="none"/>
        </w:rPr>
        <w:t>集体活动保险条款</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保险期间内，在被保险人统一组织的校外社会实践活动以及军训、校运会、文艺演出、体育竞赛等集体活动中发生意外事故造成学生遭受人身损害，依法应由被保险人承担的经济赔偿责任，保险人按照保险合同的约定负责赔偿。</w:t>
      </w:r>
    </w:p>
    <w:p>
      <w:pPr>
        <w:pStyle w:val="12"/>
        <w:pageBreakBefore w:val="0"/>
        <w:kinsoku/>
        <w:wordWrap/>
        <w:overflowPunct/>
        <w:topLinePunct w:val="0"/>
        <w:bidi w:val="0"/>
        <w:snapToGrid/>
        <w:spacing w:before="0" w:beforeAutospacing="0" w:after="0" w:afterAutospacing="0" w:line="360" w:lineRule="auto"/>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五、扩展新增学生人数变动保险条款</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对于在投保年度参保学校的新增学生，自该生完成注册手续之日起，自动纳入本保险保障范围。若新增学生人数不超过保单投保人数的</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%（含），保险人免于收取增加的保险费；若新增学生人数超过保单投保人数的</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%，保险人按实际新增人数收取新增保险费。</w:t>
      </w:r>
    </w:p>
    <w:p>
      <w:pPr>
        <w:pStyle w:val="12"/>
        <w:pageBreakBefore w:val="0"/>
        <w:kinsoku/>
        <w:wordWrap/>
        <w:overflowPunct/>
        <w:topLinePunct w:val="0"/>
        <w:bidi w:val="0"/>
        <w:snapToGrid/>
        <w:spacing w:before="0" w:beforeAutospacing="0" w:after="0" w:afterAutospacing="0" w:line="360" w:lineRule="auto"/>
        <w:ind w:firstLine="422" w:firstLineChars="200"/>
        <w:rPr>
          <w:rFonts w:hint="eastAsia" w:ascii="宋体" w:hAnsi="宋体" w:eastAsia="宋体" w:cs="宋体"/>
          <w:b/>
          <w:color w:val="auto"/>
          <w:kern w:val="2"/>
          <w:sz w:val="21"/>
          <w:szCs w:val="21"/>
          <w:highlight w:val="none"/>
        </w:rPr>
      </w:pPr>
    </w:p>
    <w:p>
      <w:pPr>
        <w:pStyle w:val="12"/>
        <w:pageBreakBefore w:val="0"/>
        <w:kinsoku/>
        <w:wordWrap/>
        <w:overflowPunct/>
        <w:topLinePunct w:val="0"/>
        <w:bidi w:val="0"/>
        <w:snapToGrid/>
        <w:spacing w:before="0" w:beforeAutospacing="0" w:after="0" w:afterAutospacing="0" w:line="360" w:lineRule="auto"/>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六、扩展学生第三者责任保险条款</w:t>
      </w:r>
    </w:p>
    <w:p>
      <w:pPr>
        <w:pStyle w:val="19"/>
        <w:pageBreakBefore w:val="0"/>
        <w:kinsoku/>
        <w:wordWrap/>
        <w:overflowPunct/>
        <w:topLinePunct w:val="0"/>
        <w:bidi w:val="0"/>
        <w:snapToGrid/>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在保险期间内，在被保险人的在校活动中或由被保险人统一组织或安排的活动过程中，由于学生的过失造成第三者的人身损害，依法应由被保险人承担的经济赔偿责任，保险人依照本保险合同的约定在每次事故每人第三者责任限额内负责赔偿。</w:t>
      </w:r>
    </w:p>
    <w:p>
      <w:pPr>
        <w:pStyle w:val="12"/>
        <w:pageBreakBefore w:val="0"/>
        <w:kinsoku/>
        <w:wordWrap/>
        <w:overflowPunct/>
        <w:topLinePunct w:val="0"/>
        <w:bidi w:val="0"/>
        <w:snapToGrid/>
        <w:spacing w:before="0" w:beforeAutospacing="0" w:after="0" w:afterAutospacing="0" w:line="360" w:lineRule="auto"/>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七、扩展恶劣天气保险条款</w:t>
      </w:r>
    </w:p>
    <w:p>
      <w:pPr>
        <w:pStyle w:val="19"/>
        <w:pageBreakBefore w:val="0"/>
        <w:kinsoku/>
        <w:wordWrap/>
        <w:overflowPunct/>
        <w:topLinePunct w:val="0"/>
        <w:bidi w:val="0"/>
        <w:snapToGrid/>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保险期间内，被保险人接到相关气象部门认定的恶劣天气造成的学生必须停课的通知后，学生因停课从校园返回住所途中发生意外事故导致其遭受人身损害，依法应由被保险人承担的经济赔偿责任，保险人按照保险合同的约定负责赔偿。</w:t>
      </w:r>
    </w:p>
    <w:p>
      <w:pPr>
        <w:pStyle w:val="12"/>
        <w:pageBreakBefore w:val="0"/>
        <w:kinsoku/>
        <w:wordWrap/>
        <w:overflowPunct/>
        <w:topLinePunct w:val="0"/>
        <w:bidi w:val="0"/>
        <w:snapToGrid/>
        <w:spacing w:before="0" w:beforeAutospacing="0" w:after="0" w:afterAutospacing="0" w:line="360" w:lineRule="auto"/>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八、扩展境外保险条款</w:t>
      </w:r>
    </w:p>
    <w:p>
      <w:pPr>
        <w:pStyle w:val="19"/>
        <w:pageBreakBefore w:val="0"/>
        <w:kinsoku/>
        <w:wordWrap/>
        <w:overflowPunct/>
        <w:topLinePunct w:val="0"/>
        <w:bidi w:val="0"/>
        <w:snapToGrid/>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在保险期间内，由被保险人统一组织或安排的出境活动中（包括港、澳、台地区）中，发生意外事故导致学生遭受人身损害，依法应由被保险人承担的经济赔偿责任，保险人按照保险合同的约定负责赔偿。</w:t>
      </w:r>
    </w:p>
    <w:p>
      <w:pPr>
        <w:pStyle w:val="12"/>
        <w:pageBreakBefore w:val="0"/>
        <w:kinsoku/>
        <w:wordWrap/>
        <w:overflowPunct/>
        <w:topLinePunct w:val="0"/>
        <w:bidi w:val="0"/>
        <w:snapToGrid/>
        <w:spacing w:before="0" w:beforeAutospacing="0" w:after="0" w:afterAutospacing="0" w:line="360" w:lineRule="auto"/>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九、扩展校车保险条款</w:t>
      </w:r>
    </w:p>
    <w:p>
      <w:pPr>
        <w:pStyle w:val="19"/>
        <w:pageBreakBefore w:val="0"/>
        <w:kinsoku/>
        <w:wordWrap/>
        <w:overflowPunct/>
        <w:topLinePunct w:val="0"/>
        <w:bidi w:val="0"/>
        <w:snapToGrid/>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保险期间内，被保险人提供的校车服务过程中（包括学生在校车运行途中或上下校车过程中）发生意外事故导致学生遭受人身损害，依法应由被保险人承担的经济赔偿责任，保险人按照保险合同的约定负责赔偿。</w:t>
      </w:r>
    </w:p>
    <w:p>
      <w:pPr>
        <w:pStyle w:val="12"/>
        <w:pageBreakBefore w:val="0"/>
        <w:kinsoku/>
        <w:wordWrap/>
        <w:overflowPunct/>
        <w:topLinePunct w:val="0"/>
        <w:bidi w:val="0"/>
        <w:snapToGrid/>
        <w:spacing w:before="0" w:beforeAutospacing="0" w:after="0" w:afterAutospacing="0" w:line="360" w:lineRule="auto"/>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十、扩展住宿场所保险条款</w:t>
      </w:r>
    </w:p>
    <w:p>
      <w:pPr>
        <w:pStyle w:val="19"/>
        <w:pageBreakBefore w:val="0"/>
        <w:kinsoku/>
        <w:wordWrap/>
        <w:overflowPunct/>
        <w:topLinePunct w:val="0"/>
        <w:bidi w:val="0"/>
        <w:snapToGrid/>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在保险期间内，被保险人管理、提供、认可的负有管理责任的住宿场所发生意外事故导致学生遭受人身损害，依法应由被保险人承担的经济赔偿责任，保险人按照保险合同的约定负责赔偿。</w:t>
      </w:r>
    </w:p>
    <w:p>
      <w:pPr>
        <w:pStyle w:val="12"/>
        <w:pageBreakBefore w:val="0"/>
        <w:kinsoku/>
        <w:wordWrap/>
        <w:overflowPunct/>
        <w:topLinePunct w:val="0"/>
        <w:bidi w:val="0"/>
        <w:snapToGrid/>
        <w:spacing w:before="0" w:beforeAutospacing="0" w:after="0" w:afterAutospacing="0" w:line="360" w:lineRule="auto"/>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十一、扩展罢工、暴乱、民众骚乱或恶意破坏保险条款</w:t>
      </w:r>
    </w:p>
    <w:p>
      <w:pPr>
        <w:pStyle w:val="19"/>
        <w:pageBreakBefore w:val="0"/>
        <w:kinsoku/>
        <w:wordWrap/>
        <w:overflowPunct/>
        <w:topLinePunct w:val="0"/>
        <w:bidi w:val="0"/>
        <w:snapToGrid/>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保险期间内，在被保险人的在校活动中或由被保险人统一组织或安排的活动过程中，发生罢工、暴乱、民众骚乱或恶意破坏引起的意外事故导致学生遭受人身损害，依法应由被保险人承担的经济赔偿责任，保险人按照保险合同的约定负责赔偿。</w:t>
      </w:r>
    </w:p>
    <w:p>
      <w:pPr>
        <w:pStyle w:val="12"/>
        <w:pageBreakBefore w:val="0"/>
        <w:kinsoku/>
        <w:wordWrap/>
        <w:overflowPunct/>
        <w:topLinePunct w:val="0"/>
        <w:bidi w:val="0"/>
        <w:snapToGrid/>
        <w:spacing w:before="0" w:beforeAutospacing="0" w:after="0" w:afterAutospacing="0" w:line="360" w:lineRule="auto"/>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十二、扩展性侵害保险条款</w:t>
      </w:r>
    </w:p>
    <w:p>
      <w:pPr>
        <w:pStyle w:val="19"/>
        <w:pageBreakBefore w:val="0"/>
        <w:kinsoku/>
        <w:wordWrap/>
        <w:overflowPunct/>
        <w:topLinePunct w:val="0"/>
        <w:bidi w:val="0"/>
        <w:snapToGrid/>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在保险期间内，在被保险人的管理范围内，学生遭受第三者性侵害依法应由被保险人承担的经济赔偿责任，保险人按照保险合同的约定负责赔偿。</w:t>
      </w:r>
    </w:p>
    <w:p>
      <w:pPr>
        <w:pStyle w:val="12"/>
        <w:pageBreakBefore w:val="0"/>
        <w:kinsoku/>
        <w:wordWrap/>
        <w:overflowPunct/>
        <w:topLinePunct w:val="0"/>
        <w:bidi w:val="0"/>
        <w:snapToGrid/>
        <w:spacing w:before="0" w:beforeAutospacing="0" w:after="0" w:afterAutospacing="0" w:line="360" w:lineRule="auto"/>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十三、扩展学业中断保险条款</w:t>
      </w:r>
    </w:p>
    <w:p>
      <w:pPr>
        <w:pStyle w:val="19"/>
        <w:pageBreakBefore w:val="0"/>
        <w:kinsoku/>
        <w:wordWrap/>
        <w:overflowPunct/>
        <w:topLinePunct w:val="0"/>
        <w:bidi w:val="0"/>
        <w:snapToGrid/>
        <w:spacing w:line="360" w:lineRule="auto"/>
        <w:ind w:firstLine="422"/>
        <w:jc w:val="center"/>
        <w:rPr>
          <w:rFonts w:hint="eastAsia" w:ascii="宋体" w:hAnsi="宋体" w:cs="宋体"/>
          <w:b/>
          <w:bCs/>
          <w:color w:val="auto"/>
          <w:szCs w:val="21"/>
          <w:highlight w:val="none"/>
        </w:rPr>
      </w:pPr>
      <w:r>
        <w:rPr>
          <w:rFonts w:hint="eastAsia" w:ascii="宋体" w:hAnsi="宋体" w:cs="宋体"/>
          <w:b/>
          <w:bCs/>
          <w:color w:val="auto"/>
          <w:szCs w:val="21"/>
          <w:highlight w:val="none"/>
        </w:rPr>
        <w:t>保险责任</w:t>
      </w:r>
    </w:p>
    <w:p>
      <w:pPr>
        <w:pStyle w:val="19"/>
        <w:pageBreakBefore w:val="0"/>
        <w:kinsoku/>
        <w:wordWrap/>
        <w:overflowPunct/>
        <w:topLinePunct w:val="0"/>
        <w:bidi w:val="0"/>
        <w:snapToGrid/>
        <w:spacing w:line="360" w:lineRule="auto"/>
        <w:ind w:firstLine="422"/>
        <w:rPr>
          <w:rFonts w:hint="eastAsia" w:ascii="宋体" w:hAnsi="宋体" w:cs="宋体"/>
          <w:color w:val="auto"/>
          <w:szCs w:val="21"/>
          <w:highlight w:val="none"/>
        </w:rPr>
      </w:pPr>
      <w:r>
        <w:rPr>
          <w:rFonts w:hint="eastAsia" w:ascii="宋体" w:hAnsi="宋体" w:cs="宋体"/>
          <w:b/>
          <w:bCs/>
          <w:color w:val="auto"/>
          <w:szCs w:val="21"/>
          <w:highlight w:val="none"/>
        </w:rPr>
        <w:t xml:space="preserve">第一条 </w:t>
      </w:r>
      <w:r>
        <w:rPr>
          <w:rFonts w:hint="eastAsia" w:ascii="宋体" w:hAnsi="宋体" w:cs="宋体"/>
          <w:color w:val="auto"/>
          <w:szCs w:val="21"/>
          <w:highlight w:val="none"/>
        </w:rPr>
        <w:t>在保险期间内，发生基本险保险责任范围的事故导致学生因身体原因不能到校学习遭受学业中断损失，被保险人给予学生的学业中断损失补偿金，保险人按照保险合同的约定负责赔偿。</w:t>
      </w:r>
    </w:p>
    <w:p>
      <w:pPr>
        <w:pageBreakBefore w:val="0"/>
        <w:widowControl/>
        <w:kinsoku/>
        <w:wordWrap/>
        <w:overflowPunct/>
        <w:topLinePunct w:val="0"/>
        <w:bidi w:val="0"/>
        <w:snapToGrid/>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责任限额与免赔额</w:t>
      </w:r>
    </w:p>
    <w:p>
      <w:pPr>
        <w:pageBreakBefore w:val="0"/>
        <w:widowControl/>
        <w:kinsoku/>
        <w:wordWrap/>
        <w:overflowPunct/>
        <w:topLinePunct w:val="0"/>
        <w:bidi w:val="0"/>
        <w:snapToGrid/>
        <w:spacing w:line="360" w:lineRule="auto"/>
        <w:ind w:firstLine="422" w:firstLineChars="200"/>
        <w:rPr>
          <w:rFonts w:hint="eastAsia" w:ascii="宋体" w:hAnsi="宋体" w:cs="宋体"/>
          <w:color w:val="auto"/>
          <w:kern w:val="0"/>
          <w:szCs w:val="21"/>
          <w:highlight w:val="none"/>
        </w:rPr>
      </w:pPr>
      <w:r>
        <w:rPr>
          <w:rFonts w:hint="eastAsia" w:ascii="宋体" w:hAnsi="宋体" w:cs="宋体"/>
          <w:b/>
          <w:color w:val="auto"/>
          <w:szCs w:val="21"/>
          <w:highlight w:val="none"/>
        </w:rPr>
        <w:t xml:space="preserve">第二条 </w:t>
      </w:r>
      <w:r>
        <w:rPr>
          <w:rFonts w:hint="eastAsia" w:ascii="宋体" w:hAnsi="宋体" w:cs="宋体"/>
          <w:color w:val="auto"/>
          <w:szCs w:val="21"/>
          <w:highlight w:val="none"/>
        </w:rPr>
        <w:t>本保险合同所指责任限额为每次事故每人学业中断损失责任限额</w:t>
      </w:r>
      <w:r>
        <w:rPr>
          <w:rFonts w:hint="eastAsia" w:ascii="宋体" w:hAnsi="宋体" w:cs="宋体"/>
          <w:color w:val="auto"/>
          <w:kern w:val="0"/>
          <w:szCs w:val="21"/>
          <w:highlight w:val="none"/>
        </w:rPr>
        <w:t>，</w:t>
      </w:r>
      <w:r>
        <w:rPr>
          <w:rFonts w:hint="eastAsia" w:ascii="宋体" w:hAnsi="宋体" w:cs="宋体"/>
          <w:color w:val="auto"/>
          <w:szCs w:val="21"/>
          <w:highlight w:val="none"/>
        </w:rPr>
        <w:t>每次事故每人学业中断损失责任限额包含在基本险每次事故每人责任限额里面。</w:t>
      </w:r>
    </w:p>
    <w:p>
      <w:pPr>
        <w:pageBreakBefore w:val="0"/>
        <w:widowControl/>
        <w:kinsoku/>
        <w:wordWrap/>
        <w:overflowPunct/>
        <w:topLinePunct w:val="0"/>
        <w:bidi w:val="0"/>
        <w:snapToGrid/>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第三条 </w:t>
      </w:r>
      <w:r>
        <w:rPr>
          <w:rFonts w:hint="eastAsia" w:ascii="宋体" w:hAnsi="宋体" w:cs="宋体"/>
          <w:color w:val="auto"/>
          <w:kern w:val="0"/>
          <w:szCs w:val="21"/>
          <w:highlight w:val="none"/>
        </w:rPr>
        <w:t>免赔额由投保人与保险人在签订保险合协商确定，并在保险单中载</w:t>
      </w:r>
      <w:r>
        <w:rPr>
          <w:rFonts w:hint="eastAsia" w:ascii="宋体" w:hAnsi="宋体" w:cs="宋体"/>
          <w:color w:val="auto"/>
          <w:szCs w:val="21"/>
          <w:highlight w:val="none"/>
        </w:rPr>
        <w:t>明。</w:t>
      </w:r>
    </w:p>
    <w:p>
      <w:pPr>
        <w:pStyle w:val="19"/>
        <w:pageBreakBefore w:val="0"/>
        <w:kinsoku/>
        <w:wordWrap/>
        <w:overflowPunct/>
        <w:topLinePunct w:val="0"/>
        <w:bidi w:val="0"/>
        <w:snapToGrid/>
        <w:spacing w:line="360" w:lineRule="auto"/>
        <w:ind w:firstLine="422"/>
        <w:jc w:val="center"/>
        <w:rPr>
          <w:rFonts w:hint="eastAsia" w:ascii="宋体" w:hAnsi="宋体" w:cs="宋体"/>
          <w:b/>
          <w:bCs/>
          <w:color w:val="auto"/>
          <w:szCs w:val="21"/>
          <w:highlight w:val="none"/>
        </w:rPr>
      </w:pPr>
      <w:r>
        <w:rPr>
          <w:rFonts w:hint="eastAsia" w:ascii="宋体" w:hAnsi="宋体" w:cs="宋体"/>
          <w:b/>
          <w:bCs/>
          <w:color w:val="auto"/>
          <w:szCs w:val="21"/>
          <w:highlight w:val="none"/>
        </w:rPr>
        <w:t>赔偿处理</w:t>
      </w:r>
    </w:p>
    <w:p>
      <w:pPr>
        <w:pageBreakBefore w:val="0"/>
        <w:widowControl/>
        <w:kinsoku/>
        <w:wordWrap/>
        <w:overflowPunct/>
        <w:topLinePunct w:val="0"/>
        <w:bidi w:val="0"/>
        <w:snapToGrid/>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第四条 </w:t>
      </w:r>
      <w:r>
        <w:rPr>
          <w:rFonts w:hint="eastAsia" w:ascii="宋体" w:hAnsi="宋体" w:cs="宋体"/>
          <w:color w:val="auto"/>
          <w:szCs w:val="21"/>
          <w:highlight w:val="none"/>
        </w:rPr>
        <w:t>保险人对每次事故每名学生的赔偿按照保险单载明的每日学业中断损失补偿金乘以实际学业中断天数后确定的金额进行赔偿，最高不超过每次事故每人学业中断损失责任限额。</w:t>
      </w:r>
    </w:p>
    <w:p>
      <w:pPr>
        <w:pStyle w:val="12"/>
        <w:pageBreakBefore w:val="0"/>
        <w:kinsoku/>
        <w:wordWrap/>
        <w:overflowPunct/>
        <w:topLinePunct w:val="0"/>
        <w:bidi w:val="0"/>
        <w:snapToGrid/>
        <w:spacing w:line="360" w:lineRule="auto"/>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十四、错误和遗漏条款</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兹经双方同意，本保险项下的赔偿责任不因被保险人非故意地延迟、错误或遗漏向保险人申报有关变更或其他有关信息而被拒负，一旦被保险人明白其疏忽或遗漏应在合理的时间内尽快向保险人申报，并根据保险人要求支付自风险增加之日起的适当的附加保险费。</w:t>
      </w:r>
    </w:p>
    <w:p>
      <w:pPr>
        <w:pageBreakBefore w:val="0"/>
        <w:kinsoku/>
        <w:wordWrap/>
        <w:overflowPunct/>
        <w:topLinePunct w:val="0"/>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不正确的、有缺陷的或错误的评估不可视为非故意的错误与遗漏。</w:t>
      </w:r>
    </w:p>
    <w:p>
      <w:pPr>
        <w:pStyle w:val="12"/>
        <w:pageBreakBefore w:val="0"/>
        <w:kinsoku/>
        <w:wordWrap/>
        <w:overflowPunct/>
        <w:topLinePunct w:val="0"/>
        <w:bidi w:val="0"/>
        <w:snapToGrid/>
        <w:spacing w:line="360" w:lineRule="auto"/>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十五、违反条件条款</w:t>
      </w:r>
    </w:p>
    <w:p>
      <w:pPr>
        <w:pStyle w:val="19"/>
        <w:pageBreakBefore w:val="0"/>
        <w:kinsoku/>
        <w:wordWrap/>
        <w:overflowPunct/>
        <w:topLinePunct w:val="0"/>
        <w:bidi w:val="0"/>
        <w:snapToGrid/>
        <w:spacing w:line="360" w:lineRule="auto"/>
        <w:rPr>
          <w:rFonts w:hint="eastAsia" w:ascii="宋体" w:hAnsi="宋体" w:cs="宋体"/>
          <w:color w:val="auto"/>
          <w:szCs w:val="21"/>
          <w:highlight w:val="none"/>
        </w:rPr>
      </w:pPr>
      <w:r>
        <w:rPr>
          <w:rFonts w:hint="eastAsia" w:ascii="宋体" w:hAnsi="宋体" w:cs="宋体"/>
          <w:color w:val="auto"/>
          <w:szCs w:val="21"/>
          <w:highlight w:val="none"/>
        </w:rPr>
        <w:t>兹经双方同意，本保险条件和保证分别适用于每一承保风险和每一危险单位，而非共同适用于所有承保风险和危险单位。如因被保险人疏忽或过失，则对该条件和保证的违反不影响本保险单整体效力；被保险人对某些条件和保证的违反仅使该违反所适用风险涉及的那一部分危险单位的保障失效，不影响其他保障的有效性。</w:t>
      </w:r>
    </w:p>
    <w:p>
      <w:pPr>
        <w:pStyle w:val="12"/>
        <w:pageBreakBefore w:val="0"/>
        <w:kinsoku/>
        <w:wordWrap/>
        <w:overflowPunct/>
        <w:topLinePunct w:val="0"/>
        <w:bidi w:val="0"/>
        <w:snapToGrid/>
        <w:spacing w:line="360" w:lineRule="auto"/>
        <w:jc w:val="center"/>
        <w:rPr>
          <w:rFonts w:hint="eastAsia" w:ascii="宋体" w:hAnsi="宋体" w:eastAsia="宋体" w:cs="宋体"/>
          <w:b/>
          <w:color w:val="auto"/>
          <w:sz w:val="21"/>
          <w:szCs w:val="21"/>
          <w:highlight w:val="none"/>
        </w:rPr>
      </w:pPr>
    </w:p>
    <w:p>
      <w:pPr>
        <w:pStyle w:val="12"/>
        <w:pageBreakBefore w:val="0"/>
        <w:kinsoku/>
        <w:wordWrap/>
        <w:overflowPunct/>
        <w:topLinePunct w:val="0"/>
        <w:bidi w:val="0"/>
        <w:snapToGrid/>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附加校（园）方无过失责任保险条款</w:t>
      </w:r>
    </w:p>
    <w:p>
      <w:pPr>
        <w:pageBreakBefore w:val="0"/>
        <w:tabs>
          <w:tab w:val="left" w:pos="2177"/>
        </w:tabs>
        <w:kinsoku/>
        <w:wordWrap/>
        <w:overflowPunct/>
        <w:topLinePunct w:val="0"/>
        <w:bidi w:val="0"/>
        <w:snapToGrid/>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总则</w:t>
      </w:r>
    </w:p>
    <w:p>
      <w:pPr>
        <w:pageBreakBefore w:val="0"/>
        <w:kinsoku/>
        <w:wordWrap/>
        <w:overflowPunct/>
        <w:topLinePunct w:val="0"/>
        <w:bidi w:val="0"/>
        <w:snapToGrid/>
        <w:spacing w:line="360" w:lineRule="auto"/>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第一条</w:t>
      </w:r>
      <w:r>
        <w:rPr>
          <w:rFonts w:hint="eastAsia" w:ascii="宋体" w:hAnsi="宋体" w:cs="宋体"/>
          <w:color w:val="auto"/>
          <w:szCs w:val="21"/>
          <w:highlight w:val="none"/>
        </w:rPr>
        <w:t xml:space="preserve"> 在投保《</w:t>
      </w:r>
      <w:r>
        <w:rPr>
          <w:rFonts w:hint="eastAsia" w:hAnsi="宋体" w:cs="宋体"/>
          <w:color w:val="auto"/>
          <w:szCs w:val="21"/>
          <w:highlight w:val="none"/>
        </w:rPr>
        <w:t>烟台市</w:t>
      </w:r>
      <w:r>
        <w:rPr>
          <w:rFonts w:hint="eastAsia" w:ascii="宋体" w:hAnsi="宋体" w:cs="宋体"/>
          <w:color w:val="auto"/>
          <w:szCs w:val="21"/>
          <w:highlight w:val="none"/>
        </w:rPr>
        <w:t>校（园）方责任保险》（以下简称基本险）的基础上，投保人可以投保本附加险。基本险合同效力终止，附加险合同效力亦同时终止；基本险合同无效，附加险合同亦无效。</w:t>
      </w:r>
    </w:p>
    <w:p>
      <w:pPr>
        <w:pageBreakBefore w:val="0"/>
        <w:kinsoku/>
        <w:wordWrap/>
        <w:overflowPunct/>
        <w:topLinePunct w:val="0"/>
        <w:bidi w:val="0"/>
        <w:snapToGrid/>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szCs w:val="21"/>
          <w:highlight w:val="none"/>
        </w:rPr>
        <w:t>第二条</w:t>
      </w:r>
      <w:r>
        <w:rPr>
          <w:rFonts w:hint="eastAsia" w:ascii="宋体" w:hAnsi="宋体" w:cs="宋体"/>
          <w:color w:val="auto"/>
          <w:szCs w:val="21"/>
          <w:highlight w:val="none"/>
        </w:rPr>
        <w:t xml:space="preserve"> 附加险合同未约定事项，以基本险合同为准；基本险合同与附加险合同相抵触之处，以附加险合同为准。凡涉及附加险合同的约定，均应采用书面形式。</w:t>
      </w:r>
    </w:p>
    <w:p>
      <w:pPr>
        <w:pageBreakBefore w:val="0"/>
        <w:kinsoku/>
        <w:wordWrap/>
        <w:overflowPunct/>
        <w:topLinePunct w:val="0"/>
        <w:bidi w:val="0"/>
        <w:snapToGrid/>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保险责任</w:t>
      </w:r>
    </w:p>
    <w:p>
      <w:pPr>
        <w:pageBreakBefore w:val="0"/>
        <w:tabs>
          <w:tab w:val="left" w:pos="2177"/>
        </w:tabs>
        <w:kinsoku/>
        <w:wordWrap/>
        <w:overflowPunct/>
        <w:topLinePunct w:val="0"/>
        <w:bidi w:val="0"/>
        <w:snapToGrid/>
        <w:spacing w:line="360" w:lineRule="auto"/>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第三条</w:t>
      </w:r>
      <w:r>
        <w:rPr>
          <w:rFonts w:hint="eastAsia" w:ascii="宋体" w:hAnsi="宋体" w:cs="宋体"/>
          <w:color w:val="auto"/>
          <w:szCs w:val="21"/>
          <w:highlight w:val="none"/>
        </w:rPr>
        <w:t xml:space="preserve"> 在保险期间内，在被保险人管理范围内（包括在被保险人的在校活动中或由被保险人统一组织或安排的活动过程中）发生下列情形导致学生遭受人身损害，尽管被保险人已履行相应职责，行为并无不当，但经</w:t>
      </w:r>
      <w:r>
        <w:rPr>
          <w:rFonts w:hint="eastAsia" w:ascii="宋体" w:hAnsi="宋体" w:cs="宋体"/>
          <w:color w:val="auto"/>
          <w:kern w:val="0"/>
          <w:szCs w:val="21"/>
          <w:highlight w:val="none"/>
        </w:rPr>
        <w:t>法院判决、调解或仲裁机构裁决、调解</w:t>
      </w:r>
      <w:r>
        <w:rPr>
          <w:rFonts w:hint="eastAsia" w:ascii="宋体" w:hAnsi="宋体" w:cs="宋体"/>
          <w:color w:val="auto"/>
          <w:szCs w:val="21"/>
          <w:highlight w:val="none"/>
        </w:rPr>
        <w:t>或保险人认可的赔偿处理机构决定</w:t>
      </w:r>
      <w:r>
        <w:rPr>
          <w:rFonts w:hint="eastAsia" w:ascii="宋体" w:hAnsi="宋体" w:cs="宋体"/>
          <w:color w:val="auto"/>
          <w:kern w:val="0"/>
          <w:szCs w:val="21"/>
          <w:highlight w:val="none"/>
        </w:rPr>
        <w:t>被保险人需对受伤害学生给予经济补偿或</w:t>
      </w:r>
      <w:r>
        <w:rPr>
          <w:rFonts w:hint="eastAsia" w:ascii="宋体" w:hAnsi="宋体" w:cs="宋体"/>
          <w:color w:val="auto"/>
          <w:szCs w:val="21"/>
          <w:highlight w:val="none"/>
        </w:rPr>
        <w:t>被保险人依法根据实际情况对学生给予经济补偿时，保险人依照本保险合同约定负责赔偿：</w:t>
      </w:r>
    </w:p>
    <w:p>
      <w:pPr>
        <w:pageBreakBefore w:val="0"/>
        <w:tabs>
          <w:tab w:val="left" w:pos="2177"/>
        </w:tabs>
        <w:kinsoku/>
        <w:wordWrap/>
        <w:overflowPunct/>
        <w:topLinePunct w:val="0"/>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（一）地震、雷击、台风、洪水等不可抗的自然因素；</w:t>
      </w:r>
    </w:p>
    <w:p>
      <w:pPr>
        <w:pageBreakBefore w:val="0"/>
        <w:tabs>
          <w:tab w:val="left" w:pos="2177"/>
        </w:tabs>
        <w:kinsoku/>
        <w:wordWrap/>
        <w:overflowPunct/>
        <w:topLinePunct w:val="0"/>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（二）来自被保险人外部的突发性、偶发性侵害；</w:t>
      </w:r>
    </w:p>
    <w:p>
      <w:pPr>
        <w:pageBreakBefore w:val="0"/>
        <w:tabs>
          <w:tab w:val="left" w:pos="2177"/>
        </w:tabs>
        <w:kinsoku/>
        <w:wordWrap/>
        <w:overflowPunct/>
        <w:topLinePunct w:val="0"/>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（三）学生自身原因造成的；</w:t>
      </w:r>
    </w:p>
    <w:p>
      <w:pPr>
        <w:pageBreakBefore w:val="0"/>
        <w:tabs>
          <w:tab w:val="left" w:pos="2177"/>
        </w:tabs>
        <w:kinsoku/>
        <w:wordWrap/>
        <w:overflowPunct/>
        <w:topLinePunct w:val="0"/>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（四）学生特异体质、特定疾病或者异常心理状态，被保险人不知道或者难于知道的；</w:t>
      </w:r>
    </w:p>
    <w:p>
      <w:pPr>
        <w:pageBreakBefore w:val="0"/>
        <w:tabs>
          <w:tab w:val="left" w:pos="2177"/>
        </w:tabs>
        <w:kinsoku/>
        <w:wordWrap/>
        <w:overflowPunct/>
        <w:topLinePunct w:val="0"/>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（五）学生自杀、自伤；</w:t>
      </w:r>
    </w:p>
    <w:p>
      <w:pPr>
        <w:pageBreakBefore w:val="0"/>
        <w:tabs>
          <w:tab w:val="left" w:pos="2177"/>
        </w:tabs>
        <w:kinsoku/>
        <w:wordWrap/>
        <w:overflowPunct/>
        <w:topLinePunct w:val="0"/>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w:t>
      </w:r>
      <w:r>
        <w:rPr>
          <w:rFonts w:hint="eastAsia" w:ascii="宋体" w:hAnsi="宋体" w:cs="宋体"/>
          <w:color w:val="auto"/>
          <w:szCs w:val="21"/>
          <w:highlight w:val="none"/>
        </w:rPr>
        <w:t>学生遭受第三者性侵害</w:t>
      </w:r>
      <w:r>
        <w:rPr>
          <w:rFonts w:hint="eastAsia" w:ascii="宋体" w:hAnsi="宋体" w:cs="宋体"/>
          <w:color w:val="auto"/>
          <w:szCs w:val="21"/>
          <w:highlight w:val="none"/>
          <w:shd w:val="clear" w:color="auto" w:fill="FFFFFF"/>
        </w:rPr>
        <w:t>；</w:t>
      </w:r>
    </w:p>
    <w:p>
      <w:pPr>
        <w:pageBreakBefore w:val="0"/>
        <w:tabs>
          <w:tab w:val="left" w:pos="2177"/>
        </w:tabs>
        <w:kinsoku/>
        <w:wordWrap/>
        <w:overflowPunct/>
        <w:topLinePunct w:val="0"/>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（七）学生行为具有危险性，被保险人已尽告诫、制止等义务但学生拒不改正后发生的意外事故；</w:t>
      </w:r>
    </w:p>
    <w:p>
      <w:pPr>
        <w:pageBreakBefore w:val="0"/>
        <w:tabs>
          <w:tab w:val="left" w:pos="2177"/>
        </w:tabs>
        <w:kinsoku/>
        <w:wordWrap/>
        <w:overflowPunct/>
        <w:topLinePunct w:val="0"/>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（八）放学后、节假日或者假期等被保险人工作时间以外，学生自行滞留学校或者自行到校期间发生的意外事故；</w:t>
      </w:r>
    </w:p>
    <w:p>
      <w:pPr>
        <w:pageBreakBefore w:val="0"/>
        <w:tabs>
          <w:tab w:val="left" w:pos="2177"/>
        </w:tabs>
        <w:kinsoku/>
        <w:wordWrap/>
        <w:overflowPunct/>
        <w:topLinePunct w:val="0"/>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（九）首次被诊断为患有重性精神疾病的；</w:t>
      </w:r>
    </w:p>
    <w:p>
      <w:pPr>
        <w:pageBreakBefore w:val="0"/>
        <w:tabs>
          <w:tab w:val="left" w:pos="2177"/>
        </w:tabs>
        <w:kinsoku/>
        <w:wordWrap/>
        <w:overflowPunct/>
        <w:topLinePunct w:val="0"/>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（十）其他意外因素造成的。</w:t>
      </w:r>
    </w:p>
    <w:p>
      <w:pPr>
        <w:pageBreakBefore w:val="0"/>
        <w:tabs>
          <w:tab w:val="left" w:pos="2177"/>
        </w:tabs>
        <w:kinsoku/>
        <w:wordWrap/>
        <w:overflowPunct/>
        <w:topLinePunct w:val="0"/>
        <w:bidi w:val="0"/>
        <w:snapToGrid/>
        <w:spacing w:line="360" w:lineRule="auto"/>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第四条</w:t>
      </w:r>
      <w:r>
        <w:rPr>
          <w:rFonts w:hint="eastAsia" w:ascii="宋体" w:hAnsi="宋体" w:cs="宋体"/>
          <w:color w:val="auto"/>
          <w:szCs w:val="21"/>
          <w:highlight w:val="none"/>
        </w:rPr>
        <w:t xml:space="preserve"> 在保险期间内，在被保险人管理范围外发生下列情形导致学生遭受人身损害，尽管被保险人已履行相应职责，行为并无不当，但经</w:t>
      </w:r>
      <w:r>
        <w:rPr>
          <w:rFonts w:hint="eastAsia" w:ascii="宋体" w:hAnsi="宋体" w:cs="宋体"/>
          <w:color w:val="auto"/>
          <w:kern w:val="0"/>
          <w:szCs w:val="21"/>
          <w:highlight w:val="none"/>
        </w:rPr>
        <w:t>法院判决、调解或仲裁机构裁决</w:t>
      </w:r>
      <w:r>
        <w:rPr>
          <w:rFonts w:hint="eastAsia" w:ascii="宋体" w:hAnsi="宋体" w:cs="宋体"/>
          <w:color w:val="auto"/>
          <w:szCs w:val="21"/>
          <w:highlight w:val="none"/>
        </w:rPr>
        <w:t>、调解或保险人认可的赔偿处理机构决定</w:t>
      </w:r>
      <w:r>
        <w:rPr>
          <w:rFonts w:hint="eastAsia" w:ascii="宋体" w:hAnsi="宋体" w:cs="宋体"/>
          <w:color w:val="auto"/>
          <w:kern w:val="0"/>
          <w:szCs w:val="21"/>
          <w:highlight w:val="none"/>
        </w:rPr>
        <w:t>被保险人需对受伤害学生给予经济补偿或</w:t>
      </w:r>
      <w:r>
        <w:rPr>
          <w:rFonts w:hint="eastAsia" w:ascii="宋体" w:hAnsi="宋体" w:cs="宋体"/>
          <w:color w:val="auto"/>
          <w:szCs w:val="21"/>
          <w:highlight w:val="none"/>
        </w:rPr>
        <w:t>被保险人依法根据实际情况对学生给予经济补偿时，保险人依照本保险合同约定负责赔偿：</w:t>
      </w:r>
    </w:p>
    <w:p>
      <w:pPr>
        <w:pageBreakBefore w:val="0"/>
        <w:tabs>
          <w:tab w:val="left" w:pos="2177"/>
        </w:tabs>
        <w:kinsoku/>
        <w:wordWrap/>
        <w:overflowPunct/>
        <w:topLinePunct w:val="0"/>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（一）学生在被保险人学校周边100米范围内发生意外事故或遭受暴力伤害的；</w:t>
      </w:r>
    </w:p>
    <w:p>
      <w:pPr>
        <w:pageBreakBefore w:val="0"/>
        <w:tabs>
          <w:tab w:val="left" w:pos="2177"/>
        </w:tabs>
        <w:kinsoku/>
        <w:wordWrap/>
        <w:overflowPunct/>
        <w:topLinePunct w:val="0"/>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（二）学生自行上学、放学、返校、离校途中发生的交通事故；</w:t>
      </w:r>
    </w:p>
    <w:p>
      <w:pPr>
        <w:pageBreakBefore w:val="0"/>
        <w:tabs>
          <w:tab w:val="left" w:pos="2177"/>
        </w:tabs>
        <w:kinsoku/>
        <w:wordWrap/>
        <w:overflowPunct/>
        <w:topLinePunct w:val="0"/>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（三）学生自行上学、放学、返校、离校途中溺水死亡。</w:t>
      </w:r>
    </w:p>
    <w:p>
      <w:pPr>
        <w:pageBreakBefore w:val="0"/>
        <w:kinsoku/>
        <w:wordWrap/>
        <w:overflowPunct/>
        <w:topLinePunct w:val="0"/>
        <w:bidi w:val="0"/>
        <w:snapToGrid/>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责任限额与免赔额</w:t>
      </w:r>
    </w:p>
    <w:p>
      <w:pPr>
        <w:pageBreakBefore w:val="0"/>
        <w:kinsoku/>
        <w:wordWrap/>
        <w:overflowPunct/>
        <w:topLinePunct w:val="0"/>
        <w:bidi w:val="0"/>
        <w:snapToGrid/>
        <w:spacing w:line="360" w:lineRule="auto"/>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 xml:space="preserve">第五条 </w:t>
      </w:r>
      <w:r>
        <w:rPr>
          <w:rFonts w:hint="eastAsia" w:ascii="宋体" w:hAnsi="宋体" w:cs="宋体"/>
          <w:color w:val="auto"/>
          <w:kern w:val="0"/>
          <w:szCs w:val="21"/>
          <w:highlight w:val="none"/>
        </w:rPr>
        <w:t>本附加保险合同的责任限额</w:t>
      </w:r>
      <w:r>
        <w:rPr>
          <w:rFonts w:hint="eastAsia" w:ascii="宋体" w:hAnsi="宋体" w:cs="宋体"/>
          <w:color w:val="auto"/>
          <w:szCs w:val="21"/>
          <w:highlight w:val="none"/>
        </w:rPr>
        <w:t>包括累计责任限额、每次事故责任限额、每次事故每人责任限额、每次事故每人医疗费用责任限额。</w:t>
      </w:r>
    </w:p>
    <w:p>
      <w:pPr>
        <w:pageBreakBefore w:val="0"/>
        <w:kinsoku/>
        <w:wordWrap/>
        <w:overflowPunct/>
        <w:topLinePunct w:val="0"/>
        <w:bidi w:val="0"/>
        <w:snapToGrid/>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第六条 </w:t>
      </w:r>
      <w:r>
        <w:rPr>
          <w:rFonts w:hint="eastAsia" w:ascii="宋体" w:hAnsi="宋体" w:cs="宋体"/>
          <w:color w:val="auto"/>
          <w:szCs w:val="21"/>
          <w:highlight w:val="none"/>
        </w:rPr>
        <w:t>免赔额由投保人与保险人在签订保险合协商确定，并在保险单中载明。</w:t>
      </w:r>
    </w:p>
    <w:p>
      <w:pPr>
        <w:pageBreakBefore w:val="0"/>
        <w:kinsoku/>
        <w:wordWrap/>
        <w:overflowPunct/>
        <w:topLinePunct w:val="0"/>
        <w:bidi w:val="0"/>
        <w:snapToGrid/>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赔偿处理</w:t>
      </w:r>
    </w:p>
    <w:p>
      <w:pPr>
        <w:pageBreakBefore w:val="0"/>
        <w:kinsoku/>
        <w:wordWrap/>
        <w:overflowPunct/>
        <w:topLinePunct w:val="0"/>
        <w:bidi w:val="0"/>
        <w:snapToGrid/>
        <w:spacing w:line="360" w:lineRule="auto"/>
        <w:ind w:firstLine="422" w:firstLineChars="200"/>
        <w:jc w:val="left"/>
        <w:rPr>
          <w:rFonts w:hint="eastAsia" w:ascii="宋体" w:hAnsi="宋体" w:cs="宋体"/>
          <w:bCs/>
          <w:color w:val="auto"/>
          <w:szCs w:val="21"/>
          <w:highlight w:val="none"/>
        </w:rPr>
      </w:pPr>
      <w:r>
        <w:rPr>
          <w:rFonts w:hint="eastAsia" w:ascii="宋体" w:hAnsi="宋体" w:cs="宋体"/>
          <w:b/>
          <w:bCs/>
          <w:color w:val="auto"/>
          <w:szCs w:val="21"/>
          <w:highlight w:val="none"/>
        </w:rPr>
        <w:t>第七条</w:t>
      </w:r>
      <w:r>
        <w:rPr>
          <w:rFonts w:hint="eastAsia" w:ascii="宋体" w:hAnsi="宋体" w:cs="宋体"/>
          <w:color w:val="auto"/>
          <w:szCs w:val="21"/>
          <w:highlight w:val="none"/>
        </w:rPr>
        <w:t xml:space="preserve"> 发生本附加保险条款第三条第五款的事故，保险人对每次事故每名学生的赔偿金额总和不超过每次事故每人责任限额的40%。发生本附加保险条款第四条第二款及第三款的事故，保险人对每次事故每名学生的赔偿金额总和不超过每次事故每人责任限额的20%。</w:t>
      </w:r>
    </w:p>
    <w:p>
      <w:pPr>
        <w:pageBreakBefore w:val="0"/>
        <w:kinsoku/>
        <w:wordWrap/>
        <w:overflowPunct/>
        <w:topLinePunct w:val="0"/>
        <w:bidi w:val="0"/>
        <w:snapToGrid/>
        <w:spacing w:line="360" w:lineRule="auto"/>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第八条</w:t>
      </w:r>
      <w:r>
        <w:rPr>
          <w:rFonts w:hint="eastAsia" w:ascii="宋体" w:hAnsi="宋体" w:cs="宋体"/>
          <w:color w:val="auto"/>
          <w:szCs w:val="21"/>
          <w:highlight w:val="none"/>
        </w:rPr>
        <w:t xml:space="preserve"> 除合同另有约定外，保险人对每次事故每名学生医疗费用赔偿金额在每次事故每人医疗费用责任限额内赔偿。保险人对每次事故每名学生的赔偿金额总和不超过每次事故每人责任限额，且在每次事故责任限额以内计算赔偿。保险人对每次事故各项损失的赔偿金额之和不超过每次事故责任限额。保险人对多次事故各项损失的赔偿金额之和不超过累计责任限额。</w:t>
      </w:r>
    </w:p>
    <w:p>
      <w:pPr>
        <w:pageBreakBefore w:val="0"/>
        <w:kinsoku/>
        <w:wordWrap/>
        <w:overflowPunct/>
        <w:topLinePunct w:val="0"/>
        <w:bidi w:val="0"/>
        <w:snapToGrid/>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释义</w:t>
      </w:r>
    </w:p>
    <w:p>
      <w:pPr>
        <w:pageBreakBefore w:val="0"/>
        <w:kinsoku/>
        <w:wordWrap/>
        <w:overflowPunct/>
        <w:topLinePunct w:val="0"/>
        <w:bidi w:val="0"/>
        <w:snapToGrid/>
        <w:spacing w:line="360" w:lineRule="auto"/>
        <w:ind w:firstLine="422" w:firstLineChars="200"/>
        <w:jc w:val="left"/>
        <w:rPr>
          <w:rFonts w:hint="eastAsia" w:ascii="宋体" w:hAnsi="宋体" w:cs="宋体"/>
          <w:color w:val="auto"/>
          <w:szCs w:val="21"/>
          <w:highlight w:val="none"/>
        </w:rPr>
      </w:pPr>
      <w:r>
        <w:rPr>
          <w:rFonts w:hint="eastAsia" w:ascii="宋体" w:hAnsi="宋体" w:cs="宋体"/>
          <w:b/>
          <w:bCs/>
          <w:color w:val="auto"/>
          <w:kern w:val="0"/>
          <w:szCs w:val="21"/>
          <w:highlight w:val="none"/>
        </w:rPr>
        <w:t>突发性、偶发性侵害</w:t>
      </w:r>
      <w:r>
        <w:rPr>
          <w:rFonts w:hint="eastAsia" w:ascii="宋体" w:hAnsi="宋体" w:cs="宋体"/>
          <w:b/>
          <w:color w:val="auto"/>
          <w:szCs w:val="21"/>
          <w:highlight w:val="none"/>
        </w:rPr>
        <w:t>：</w:t>
      </w:r>
      <w:r>
        <w:rPr>
          <w:rFonts w:hint="eastAsia" w:ascii="宋体" w:hAnsi="宋体" w:cs="宋体"/>
          <w:color w:val="auto"/>
          <w:szCs w:val="21"/>
          <w:highlight w:val="none"/>
        </w:rPr>
        <w:t>来自校外的车辆、外来人员或其他侵害主体在本保险单列明的承保区域范围内实施的突发性、不可预见的伤害事件。</w:t>
      </w:r>
    </w:p>
    <w:p>
      <w:pPr>
        <w:pageBreakBefore w:val="0"/>
        <w:kinsoku/>
        <w:wordWrap/>
        <w:overflowPunct/>
        <w:topLinePunct w:val="0"/>
        <w:bidi w:val="0"/>
        <w:snapToGrid/>
        <w:spacing w:line="360" w:lineRule="auto"/>
        <w:ind w:firstLine="422" w:firstLineChars="200"/>
        <w:jc w:val="left"/>
        <w:rPr>
          <w:rFonts w:hint="eastAsia" w:ascii="宋体" w:hAnsi="宋体"/>
          <w:b/>
          <w:color w:val="auto"/>
          <w:sz w:val="24"/>
          <w:highlight w:val="none"/>
        </w:rPr>
      </w:pPr>
      <w:r>
        <w:rPr>
          <w:rFonts w:hint="eastAsia" w:ascii="宋体" w:hAnsi="宋体" w:cs="宋体"/>
          <w:b/>
          <w:bCs/>
          <w:color w:val="auto"/>
          <w:szCs w:val="21"/>
          <w:highlight w:val="none"/>
        </w:rPr>
        <w:t>学生自身原因</w:t>
      </w:r>
      <w:r>
        <w:rPr>
          <w:rFonts w:hint="eastAsia" w:ascii="宋体" w:hAnsi="宋体" w:cs="宋体"/>
          <w:color w:val="auto"/>
          <w:szCs w:val="21"/>
          <w:highlight w:val="none"/>
        </w:rPr>
        <w:t>：学生由于疏忽大意或过失行为造成自身的人身损害。</w:t>
      </w:r>
    </w:p>
    <w:p>
      <w:pPr>
        <w:pageBreakBefore w:val="0"/>
        <w:tabs>
          <w:tab w:val="left" w:pos="5940"/>
        </w:tabs>
        <w:kinsoku/>
        <w:wordWrap/>
        <w:overflowPunct/>
        <w:topLinePunct w:val="0"/>
        <w:bidi w:val="0"/>
        <w:snapToGrid/>
        <w:spacing w:line="360" w:lineRule="auto"/>
        <w:ind w:firstLine="482" w:firstLineChars="200"/>
        <w:rPr>
          <w:rFonts w:hint="eastAsia" w:ascii="宋体" w:hAnsi="宋体"/>
          <w:b/>
          <w:color w:val="auto"/>
          <w:sz w:val="24"/>
          <w:highlight w:val="none"/>
        </w:rPr>
      </w:pPr>
    </w:p>
    <w:p>
      <w:pPr>
        <w:pageBreakBefore w:val="0"/>
        <w:tabs>
          <w:tab w:val="left" w:pos="5940"/>
        </w:tabs>
        <w:kinsoku/>
        <w:wordWrap/>
        <w:overflowPunct/>
        <w:topLinePunct w:val="0"/>
        <w:bidi w:val="0"/>
        <w:snapToGrid/>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 xml:space="preserve">四、后续服务 </w:t>
      </w:r>
    </w:p>
    <w:p>
      <w:pPr>
        <w:pageBreakBefore w:val="0"/>
        <w:widowControl/>
        <w:kinsoku/>
        <w:wordWrap/>
        <w:overflowPunct/>
        <w:topLinePunct w:val="0"/>
        <w:bidi w:val="0"/>
        <w:adjustRightInd w:val="0"/>
        <w:snapToGrid/>
        <w:spacing w:line="360" w:lineRule="auto"/>
        <w:ind w:firstLine="480" w:firstLineChars="2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1. 供应商必须针对本项目的技术要求，提供完整的质量保证体系，确保项目成果达到项目的要求， 并对质量保证的措施进行详细描述。 </w:t>
      </w:r>
    </w:p>
    <w:p>
      <w:pPr>
        <w:pageBreakBefore w:val="0"/>
        <w:widowControl/>
        <w:kinsoku/>
        <w:wordWrap/>
        <w:overflowPunct/>
        <w:topLinePunct w:val="0"/>
        <w:bidi w:val="0"/>
        <w:adjustRightInd w:val="0"/>
        <w:snapToGrid/>
        <w:spacing w:line="360" w:lineRule="auto"/>
        <w:ind w:firstLine="480" w:firstLineChars="200"/>
        <w:jc w:val="left"/>
        <w:rPr>
          <w:rFonts w:hint="eastAsia" w:ascii="宋体" w:hAnsi="宋体" w:cs="宋体"/>
          <w:bCs/>
          <w:color w:val="auto"/>
          <w:kern w:val="0"/>
          <w:sz w:val="24"/>
          <w:highlight w:val="none"/>
        </w:rPr>
      </w:pPr>
      <w:r>
        <w:rPr>
          <w:rFonts w:ascii="宋体" w:hAnsi="宋体" w:cs="宋体"/>
          <w:bCs/>
          <w:color w:val="auto"/>
          <w:kern w:val="0"/>
          <w:sz w:val="24"/>
          <w:highlight w:val="none"/>
        </w:rPr>
        <w:t xml:space="preserve">2. </w:t>
      </w:r>
      <w:r>
        <w:rPr>
          <w:rFonts w:hint="eastAsia" w:ascii="宋体" w:hAnsi="宋体" w:cs="宋体"/>
          <w:bCs/>
          <w:color w:val="auto"/>
          <w:kern w:val="0"/>
          <w:sz w:val="24"/>
          <w:highlight w:val="none"/>
        </w:rPr>
        <w:t xml:space="preserve">供应商必须根据本项目的用户要求提供完整的免费售后服务。 </w:t>
      </w:r>
    </w:p>
    <w:p>
      <w:pPr>
        <w:pageBreakBefore w:val="0"/>
        <w:widowControl/>
        <w:kinsoku/>
        <w:wordWrap/>
        <w:overflowPunct/>
        <w:topLinePunct w:val="0"/>
        <w:bidi w:val="0"/>
        <w:adjustRightInd w:val="0"/>
        <w:snapToGrid/>
        <w:spacing w:line="360" w:lineRule="auto"/>
        <w:ind w:firstLine="480" w:firstLineChars="200"/>
        <w:jc w:val="left"/>
        <w:rPr>
          <w:rFonts w:hint="eastAsia" w:ascii="宋体" w:hAnsi="宋体" w:cs="宋体"/>
          <w:bCs/>
          <w:color w:val="auto"/>
          <w:kern w:val="0"/>
          <w:sz w:val="24"/>
          <w:highlight w:val="none"/>
        </w:rPr>
      </w:pPr>
      <w:r>
        <w:rPr>
          <w:rFonts w:ascii="宋体" w:hAnsi="宋体" w:cs="宋体"/>
          <w:bCs/>
          <w:color w:val="auto"/>
          <w:kern w:val="0"/>
          <w:sz w:val="24"/>
          <w:highlight w:val="none"/>
        </w:rPr>
        <w:t xml:space="preserve">3. </w:t>
      </w:r>
      <w:r>
        <w:rPr>
          <w:rFonts w:hint="eastAsia" w:ascii="宋体" w:hAnsi="宋体" w:cs="宋体"/>
          <w:bCs/>
          <w:color w:val="auto"/>
          <w:kern w:val="0"/>
          <w:sz w:val="24"/>
          <w:highlight w:val="none"/>
        </w:rPr>
        <w:t>后续服务：根据采购人的要求完善相关手续。</w:t>
      </w:r>
    </w:p>
    <w:p>
      <w:pPr>
        <w:pageBreakBefore w:val="0"/>
        <w:tabs>
          <w:tab w:val="left" w:pos="5940"/>
        </w:tabs>
        <w:kinsoku/>
        <w:wordWrap/>
        <w:overflowPunct/>
        <w:topLinePunct w:val="0"/>
        <w:bidi w:val="0"/>
        <w:snapToGrid/>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 xml:space="preserve">五、知识产权 </w:t>
      </w:r>
    </w:p>
    <w:p>
      <w:pPr>
        <w:pageBreakBefore w:val="0"/>
        <w:widowControl/>
        <w:kinsoku/>
        <w:wordWrap/>
        <w:overflowPunct/>
        <w:topLinePunct w:val="0"/>
        <w:bidi w:val="0"/>
        <w:adjustRightInd w:val="0"/>
        <w:snapToGrid/>
        <w:spacing w:line="360" w:lineRule="auto"/>
        <w:ind w:firstLine="480" w:firstLineChars="2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 xml:space="preserve">1. 供应商一旦成交，应保证采购人在使用本项目的成果或其任何一部分时不受第三方提出的侵犯专利权、商标权和工业设计权等的起诉。如果任何第三方提出侵权指控，供应商须与第三方交涉并承担由此发生的一切责任、费用和经济赔偿。 </w:t>
      </w:r>
    </w:p>
    <w:p>
      <w:pPr>
        <w:pageBreakBefore w:val="0"/>
        <w:widowControl/>
        <w:kinsoku/>
        <w:wordWrap/>
        <w:overflowPunct/>
        <w:topLinePunct w:val="0"/>
        <w:bidi w:val="0"/>
        <w:adjustRightInd w:val="0"/>
        <w:snapToGrid/>
        <w:spacing w:line="360" w:lineRule="auto"/>
        <w:ind w:firstLine="480" w:firstLineChars="200"/>
        <w:jc w:val="left"/>
        <w:rPr>
          <w:rFonts w:hint="eastAsia" w:ascii="宋体" w:hAnsi="宋体" w:cs="宋体"/>
          <w:bCs/>
          <w:color w:val="auto"/>
          <w:kern w:val="0"/>
          <w:sz w:val="24"/>
          <w:highlight w:val="none"/>
        </w:rPr>
      </w:pPr>
      <w:r>
        <w:rPr>
          <w:rFonts w:ascii="宋体" w:hAnsi="宋体" w:cs="宋体"/>
          <w:bCs/>
          <w:color w:val="auto"/>
          <w:kern w:val="0"/>
          <w:sz w:val="24"/>
          <w:highlight w:val="none"/>
        </w:rPr>
        <w:t xml:space="preserve">2. </w:t>
      </w:r>
      <w:r>
        <w:rPr>
          <w:rFonts w:hint="eastAsia" w:ascii="宋体" w:hAnsi="宋体" w:cs="宋体"/>
          <w:bCs/>
          <w:color w:val="auto"/>
          <w:kern w:val="0"/>
          <w:sz w:val="24"/>
          <w:highlight w:val="none"/>
        </w:rPr>
        <w:t xml:space="preserve">采购人享有本项目实施过程中产生的知识成果及知识产权的使用权。 </w:t>
      </w:r>
    </w:p>
    <w:p>
      <w:pPr>
        <w:pageBreakBefore w:val="0"/>
        <w:widowControl/>
        <w:kinsoku/>
        <w:wordWrap/>
        <w:overflowPunct/>
        <w:topLinePunct w:val="0"/>
        <w:bidi w:val="0"/>
        <w:adjustRightInd w:val="0"/>
        <w:snapToGrid/>
        <w:spacing w:line="360" w:lineRule="auto"/>
        <w:ind w:firstLine="480" w:firstLineChars="200"/>
        <w:jc w:val="left"/>
        <w:rPr>
          <w:rFonts w:hint="eastAsia" w:ascii="宋体" w:hAnsi="宋体" w:cs="宋体"/>
          <w:bCs/>
          <w:color w:val="auto"/>
          <w:kern w:val="0"/>
          <w:sz w:val="24"/>
          <w:highlight w:val="none"/>
        </w:rPr>
      </w:pPr>
      <w:r>
        <w:rPr>
          <w:rFonts w:ascii="宋体" w:hAnsi="宋体" w:cs="宋体"/>
          <w:bCs/>
          <w:color w:val="auto"/>
          <w:kern w:val="0"/>
          <w:sz w:val="24"/>
          <w:highlight w:val="none"/>
        </w:rPr>
        <w:t xml:space="preserve">3. </w:t>
      </w:r>
      <w:r>
        <w:rPr>
          <w:rFonts w:hint="eastAsia" w:ascii="宋体" w:hAnsi="宋体" w:cs="宋体"/>
          <w:bCs/>
          <w:color w:val="auto"/>
          <w:kern w:val="0"/>
          <w:sz w:val="24"/>
          <w:highlight w:val="none"/>
        </w:rPr>
        <w:t xml:space="preserve">供应商如欲在项目实施过程中采用自有知识成果，需在响应文件中声明，并提供相关知识产权证明文件。使用该知识成果后，供应商需承诺提供无限期技术支持，采购人享有永久使用权。 </w:t>
      </w:r>
    </w:p>
    <w:p>
      <w:pPr>
        <w:pageBreakBefore w:val="0"/>
        <w:widowControl/>
        <w:kinsoku/>
        <w:wordWrap/>
        <w:overflowPunct/>
        <w:topLinePunct w:val="0"/>
        <w:bidi w:val="0"/>
        <w:adjustRightInd w:val="0"/>
        <w:snapToGrid/>
        <w:spacing w:line="360" w:lineRule="auto"/>
        <w:ind w:firstLine="480" w:firstLineChars="200"/>
        <w:jc w:val="left"/>
        <w:rPr>
          <w:rFonts w:hint="eastAsia" w:ascii="宋体" w:hAnsi="宋体" w:cs="宋体"/>
          <w:bCs/>
          <w:color w:val="auto"/>
          <w:kern w:val="0"/>
          <w:sz w:val="24"/>
          <w:highlight w:val="none"/>
        </w:rPr>
      </w:pPr>
      <w:r>
        <w:rPr>
          <w:rFonts w:ascii="宋体" w:hAnsi="宋体" w:cs="宋体"/>
          <w:bCs/>
          <w:color w:val="auto"/>
          <w:kern w:val="0"/>
          <w:sz w:val="24"/>
          <w:highlight w:val="none"/>
        </w:rPr>
        <w:t xml:space="preserve">4. </w:t>
      </w:r>
      <w:r>
        <w:rPr>
          <w:rFonts w:hint="eastAsia" w:ascii="宋体" w:hAnsi="宋体" w:cs="宋体"/>
          <w:bCs/>
          <w:color w:val="auto"/>
          <w:kern w:val="0"/>
          <w:sz w:val="24"/>
          <w:highlight w:val="none"/>
        </w:rPr>
        <w:t>如采用供应商所不拥有的知识产权，则在总报价中必须包括合法获取该知识产权的相关费用。</w:t>
      </w:r>
    </w:p>
    <w:p>
      <w:pPr>
        <w:pStyle w:val="22"/>
        <w:pageBreakBefore w:val="0"/>
        <w:kinsoku/>
        <w:wordWrap/>
        <w:overflowPunct/>
        <w:topLinePunct w:val="0"/>
        <w:bidi w:val="0"/>
        <w:snapToGrid/>
        <w:spacing w:line="360" w:lineRule="auto"/>
        <w:rPr>
          <w:rFonts w:hint="eastAsia"/>
          <w:color w:val="auto"/>
          <w:highlight w:val="none"/>
        </w:rPr>
      </w:pPr>
    </w:p>
    <w:bookmarkEnd w:id="1"/>
    <w:p>
      <w:pPr>
        <w:pStyle w:val="7"/>
        <w:pageBreakBefore w:val="0"/>
        <w:numPr>
          <w:ilvl w:val="0"/>
          <w:numId w:val="0"/>
        </w:numPr>
        <w:kinsoku/>
        <w:wordWrap/>
        <w:overflowPunct/>
        <w:topLinePunct w:val="0"/>
        <w:bidi w:val="0"/>
        <w:snapToGrid/>
        <w:spacing w:line="360" w:lineRule="auto"/>
        <w:ind w:firstLine="482" w:firstLineChars="200"/>
        <w:jc w:val="left"/>
        <w:textAlignment w:val="center"/>
        <w:rPr>
          <w:rFonts w:hint="eastAsia" w:ascii="宋体" w:hAnsi="宋体" w:eastAsia="宋体" w:cs="Times New Roman"/>
          <w:b/>
          <w:color w:val="auto"/>
          <w:kern w:val="2"/>
          <w:sz w:val="24"/>
          <w:highlight w:val="none"/>
          <w:lang w:val="en-US" w:eastAsia="zh-CN" w:bidi="ar-SA"/>
        </w:rPr>
      </w:pPr>
      <w:r>
        <w:rPr>
          <w:rFonts w:hint="eastAsia" w:ascii="宋体" w:hAnsi="宋体" w:eastAsia="宋体" w:cs="Times New Roman"/>
          <w:b/>
          <w:color w:val="auto"/>
          <w:kern w:val="2"/>
          <w:sz w:val="24"/>
          <w:highlight w:val="none"/>
          <w:lang w:val="en-US" w:eastAsia="zh-CN" w:bidi="ar-SA"/>
        </w:rPr>
        <w:t>六、理赔要求</w:t>
      </w:r>
    </w:p>
    <w:p>
      <w:pPr>
        <w:pageBreakBefore w:val="0"/>
        <w:widowControl/>
        <w:kinsoku/>
        <w:wordWrap/>
        <w:overflowPunct/>
        <w:topLinePunct w:val="0"/>
        <w:bidi w:val="0"/>
        <w:adjustRightInd w:val="0"/>
        <w:snapToGrid/>
        <w:spacing w:line="360" w:lineRule="auto"/>
        <w:ind w:firstLine="480" w:firstLineChars="200"/>
        <w:jc w:val="left"/>
        <w:rPr>
          <w:rFonts w:hint="default"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lang w:val="en-US" w:eastAsia="zh-CN"/>
        </w:rPr>
        <w:t>1.</w:t>
      </w:r>
      <w:r>
        <w:rPr>
          <w:rFonts w:hint="default" w:ascii="宋体" w:hAnsi="宋体" w:eastAsia="宋体" w:cs="宋体"/>
          <w:bCs/>
          <w:color w:val="auto"/>
          <w:kern w:val="0"/>
          <w:sz w:val="24"/>
          <w:highlight w:val="none"/>
          <w:lang w:val="en-US" w:eastAsia="zh-CN"/>
        </w:rPr>
        <w:t>成交供应商应当为本项目成立专人负责的服务团队，由有经验的专业理赔人员负责具体的理赔服务工作。理赔人员要保证工作时间内在岗，不能因为主要理赔人员的缺勤而影响到正常的理赔工作。</w:t>
      </w:r>
    </w:p>
    <w:p>
      <w:pPr>
        <w:pageBreakBefore w:val="0"/>
        <w:widowControl/>
        <w:kinsoku/>
        <w:wordWrap/>
        <w:overflowPunct/>
        <w:topLinePunct w:val="0"/>
        <w:bidi w:val="0"/>
        <w:adjustRightInd w:val="0"/>
        <w:snapToGrid/>
        <w:spacing w:line="360" w:lineRule="auto"/>
        <w:ind w:firstLine="480" w:firstLineChars="200"/>
        <w:jc w:val="left"/>
        <w:rPr>
          <w:rFonts w:hint="default"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lang w:val="en-US" w:eastAsia="zh-CN"/>
        </w:rPr>
        <w:t>2.</w:t>
      </w:r>
      <w:r>
        <w:rPr>
          <w:rFonts w:hint="default" w:ascii="宋体" w:hAnsi="宋体" w:eastAsia="宋体" w:cs="宋体"/>
          <w:bCs/>
          <w:color w:val="auto"/>
          <w:kern w:val="0"/>
          <w:sz w:val="24"/>
          <w:highlight w:val="none"/>
          <w:lang w:val="en-US" w:eastAsia="zh-CN"/>
        </w:rPr>
        <w:t>成交供应商应当设立专门的服务热线电话，负责受理学生实习责任保险的事故报案、咨询、疑难问题解答和投诉处理。对于事故报案和采购人投诉，成交供应商应当在3 个工作日内向采购人就重要事项作出明确答复。</w:t>
      </w:r>
    </w:p>
    <w:p>
      <w:pPr>
        <w:pageBreakBefore w:val="0"/>
        <w:widowControl/>
        <w:kinsoku/>
        <w:wordWrap/>
        <w:overflowPunct/>
        <w:topLinePunct w:val="0"/>
        <w:bidi w:val="0"/>
        <w:adjustRightInd w:val="0"/>
        <w:snapToGrid/>
        <w:spacing w:line="360" w:lineRule="auto"/>
        <w:ind w:firstLine="480" w:firstLineChars="200"/>
        <w:jc w:val="left"/>
        <w:rPr>
          <w:rFonts w:hint="default"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lang w:val="en-US" w:eastAsia="zh-CN"/>
        </w:rPr>
        <w:t>3.</w:t>
      </w:r>
      <w:r>
        <w:rPr>
          <w:rFonts w:hint="default" w:ascii="宋体" w:hAnsi="宋体" w:eastAsia="宋体" w:cs="宋体"/>
          <w:bCs/>
          <w:color w:val="auto"/>
          <w:kern w:val="0"/>
          <w:sz w:val="24"/>
          <w:highlight w:val="none"/>
          <w:lang w:val="en-US" w:eastAsia="zh-CN"/>
        </w:rPr>
        <w:t>参保人员报案后，成交供应商必须在2个工作日内与报案人员建立联系，并在确定收到符合要求的完整材料后3个工作日内结案。</w:t>
      </w:r>
    </w:p>
    <w:p>
      <w:pP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br w:type="page"/>
      </w:r>
    </w:p>
    <w:p>
      <w:pPr>
        <w:pStyle w:val="2"/>
        <w:rPr>
          <w:rFonts w:hint="eastAsia"/>
          <w:color w:val="auto"/>
          <w:highlight w:val="none"/>
          <w:lang w:val="en-US" w:eastAsia="zh-CN"/>
        </w:rPr>
      </w:pPr>
    </w:p>
    <w:p>
      <w:pPr>
        <w:pStyle w:val="19"/>
        <w:numPr>
          <w:ilvl w:val="0"/>
          <w:numId w:val="0"/>
        </w:numPr>
        <w:ind w:left="960" w:leftChars="0" w:hanging="960" w:hangingChars="300"/>
        <w:rPr>
          <w:rFonts w:hint="eastAsia"/>
          <w:color w:val="auto"/>
          <w:sz w:val="36"/>
          <w:szCs w:val="36"/>
          <w:highlight w:val="none"/>
          <w:lang w:val="en-US" w:eastAsia="zh-CN"/>
        </w:rPr>
      </w:pPr>
      <w:r>
        <w:rPr>
          <w:rFonts w:hint="eastAsia" w:ascii="黑体" w:hAnsi="黑体" w:eastAsia="黑体" w:cs="黑体"/>
          <w:b w:val="0"/>
          <w:bCs w:val="0"/>
          <w:color w:val="auto"/>
          <w:sz w:val="32"/>
          <w:szCs w:val="32"/>
          <w:highlight w:val="none"/>
          <w:lang w:val="en-US" w:eastAsia="zh-CN"/>
        </w:rPr>
        <w:t>附件3：相关要求</w:t>
      </w:r>
    </w:p>
    <w:p>
      <w:pPr>
        <w:spacing w:line="360" w:lineRule="auto"/>
        <w:rPr>
          <w:rFonts w:hint="eastAsia" w:ascii="宋体" w:hAnsi="宋体" w:eastAsia="宋体" w:cs="宋体"/>
          <w:color w:val="auto"/>
          <w:sz w:val="24"/>
          <w:szCs w:val="24"/>
          <w:highlight w:val="none"/>
          <w:lang w:val="en-US" w:eastAsia="zh-CN"/>
        </w:rPr>
      </w:pP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为进一步维护学院的利益、保障学生的合法权益，要求供应商</w:t>
      </w:r>
      <w:r>
        <w:rPr>
          <w:rFonts w:hint="eastAsia" w:ascii="宋体" w:hAnsi="宋体" w:cs="宋体"/>
          <w:color w:val="auto"/>
          <w:sz w:val="24"/>
          <w:szCs w:val="24"/>
          <w:highlight w:val="none"/>
          <w:lang w:val="en-US" w:eastAsia="zh-CN"/>
        </w:rPr>
        <w:t>报价时需提供每名学生保险费的单价。</w:t>
      </w:r>
      <w:r>
        <w:rPr>
          <w:rFonts w:hint="eastAsia" w:ascii="宋体" w:hAnsi="宋体" w:cs="宋体"/>
          <w:color w:val="auto"/>
          <w:sz w:val="24"/>
          <w:szCs w:val="24"/>
          <w:highlight w:val="none"/>
          <w:lang w:val="en-US" w:eastAsia="zh-CN"/>
        </w:rPr>
        <w:t>并按照下述要求，</w:t>
      </w:r>
      <w:r>
        <w:rPr>
          <w:rFonts w:hint="eastAsia" w:ascii="宋体" w:hAnsi="宋体" w:eastAsia="宋体" w:cs="宋体"/>
          <w:color w:val="auto"/>
          <w:sz w:val="24"/>
          <w:szCs w:val="24"/>
          <w:highlight w:val="none"/>
          <w:lang w:val="en-US" w:eastAsia="zh-CN"/>
        </w:rPr>
        <w:t>为我校提供如下服务：</w:t>
      </w:r>
    </w:p>
    <w:p>
      <w:pPr>
        <w:numPr>
          <w:ilvl w:val="0"/>
          <w:numId w:val="2"/>
        </w:numPr>
        <w:spacing w:line="360" w:lineRule="auto"/>
        <w:ind w:firstLine="480" w:firstLineChars="200"/>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风险评估：按照学院需求,每保险年度协助学院组织专业技术人员进行实地风险查勘一次，并与学院充分沟通，全面了解学院所面临的风险，协助学院识别和衡量自身存在的风险,并向学院提供专业的意见和改善风险等级的可行方法，以降低危险发生的机会或使风险得到合理的转移。</w:t>
      </w:r>
    </w:p>
    <w:p>
      <w:pPr>
        <w:numPr>
          <w:ilvl w:val="0"/>
          <w:numId w:val="2"/>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常咨询：为学院解答有关保险事宜的任何疑问，并提出专业意见，告知学院所应采取的措施。为学院提供日常的风险检验、查勘服务,提出防灾防损建议，并协助实施，督促其及时消除各种安全隐患避免和减少损失的发生。根据所安排的险种及企业的具体风险所在，向学院推荐行业安全专家对学院安全管理人员进行培训，有针对性地向学院讲解保险、风险管理、保险索赔和防灾防损等方面的知识，协助学院完善风险管理制度。</w:t>
      </w:r>
    </w:p>
    <w:p>
      <w:pPr>
        <w:pStyle w:val="2"/>
        <w:numPr>
          <w:ilvl w:val="0"/>
          <w:numId w:val="2"/>
        </w:numPr>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保安排及协助索赔。根据学院的意愿每保险年度相应优化调整保险方案，并可协助办理投保所需的单证收集、投保单核对、保费缴付等手续。在投保后，对保险单仔细核查，确保保单内容准确无误。投保手续完成后，告知学院索赔程序，协助学院准备、搜集、审核索赔相关材料，密切追踪赔案处理的整个过程。</w:t>
      </w:r>
    </w:p>
    <w:p>
      <w:pPr>
        <w:pStyle w:val="3"/>
        <w:numPr>
          <w:ilvl w:val="0"/>
          <w:numId w:val="2"/>
        </w:numPr>
        <w:spacing w:line="360" w:lineRule="auto"/>
        <w:ind w:left="0" w:leftChars="0"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协助学院建立多元化风险预防机制。随时常握学校的风险状况调整风险等级。开展校园内保险宜传、参与校内纠纷调解工作，通过校责险、实习生责任险、学平险等多重保险分散风险，减轻损失，减少学校应承担的责任。</w:t>
      </w:r>
    </w:p>
    <w:sectPr>
      <w:pgSz w:w="11906" w:h="16838"/>
      <w:pgMar w:top="1304" w:right="1080" w:bottom="124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space"/>
      <w:lvlText w:val="第%1条"/>
      <w:lvlJc w:val="left"/>
      <w:rPr>
        <w:rFonts w:hint="eastAsia"/>
        <w:b/>
      </w:rPr>
    </w:lvl>
  </w:abstractNum>
  <w:abstractNum w:abstractNumId="1">
    <w:nsid w:val="26A9123F"/>
    <w:multiLevelType w:val="singleLevel"/>
    <w:tmpl w:val="26A9123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wYjA2ZjQ5YzUwMmUyMWQ5MWY1OTAxOGE4ZGNmN2UifQ=="/>
  </w:docVars>
  <w:rsids>
    <w:rsidRoot w:val="00B8598A"/>
    <w:rsid w:val="00062150"/>
    <w:rsid w:val="00121454"/>
    <w:rsid w:val="00122E9B"/>
    <w:rsid w:val="0016294F"/>
    <w:rsid w:val="001A3C19"/>
    <w:rsid w:val="001C61D3"/>
    <w:rsid w:val="001F4E43"/>
    <w:rsid w:val="00205732"/>
    <w:rsid w:val="0024523C"/>
    <w:rsid w:val="003C4264"/>
    <w:rsid w:val="00416030"/>
    <w:rsid w:val="00447404"/>
    <w:rsid w:val="00462738"/>
    <w:rsid w:val="00587B12"/>
    <w:rsid w:val="00613F80"/>
    <w:rsid w:val="00644D79"/>
    <w:rsid w:val="0069446E"/>
    <w:rsid w:val="006A4E9C"/>
    <w:rsid w:val="00702EAB"/>
    <w:rsid w:val="007C5B67"/>
    <w:rsid w:val="008A53BC"/>
    <w:rsid w:val="008C4DFA"/>
    <w:rsid w:val="008D6214"/>
    <w:rsid w:val="009B3C32"/>
    <w:rsid w:val="00A673B4"/>
    <w:rsid w:val="00B23A33"/>
    <w:rsid w:val="00B8598A"/>
    <w:rsid w:val="00BB7C0B"/>
    <w:rsid w:val="00C16EE6"/>
    <w:rsid w:val="00CA7AE2"/>
    <w:rsid w:val="00D008C1"/>
    <w:rsid w:val="00DA02AB"/>
    <w:rsid w:val="00DD1924"/>
    <w:rsid w:val="00F03CD8"/>
    <w:rsid w:val="00F719FA"/>
    <w:rsid w:val="01166FE6"/>
    <w:rsid w:val="046F4587"/>
    <w:rsid w:val="05D7579C"/>
    <w:rsid w:val="06D0507E"/>
    <w:rsid w:val="06FD2896"/>
    <w:rsid w:val="08CC3E0A"/>
    <w:rsid w:val="0C127D8D"/>
    <w:rsid w:val="0CB60CAE"/>
    <w:rsid w:val="0D060633"/>
    <w:rsid w:val="0D304EE6"/>
    <w:rsid w:val="0D6202AC"/>
    <w:rsid w:val="0DAD6BC9"/>
    <w:rsid w:val="0E044259"/>
    <w:rsid w:val="0E06452B"/>
    <w:rsid w:val="10094278"/>
    <w:rsid w:val="10CD1887"/>
    <w:rsid w:val="147B70C9"/>
    <w:rsid w:val="14935FC6"/>
    <w:rsid w:val="15032F06"/>
    <w:rsid w:val="16027CCE"/>
    <w:rsid w:val="1B4B48F2"/>
    <w:rsid w:val="1D5E7905"/>
    <w:rsid w:val="1D8F4C97"/>
    <w:rsid w:val="1DFB34B4"/>
    <w:rsid w:val="1F2F2768"/>
    <w:rsid w:val="1F455F0E"/>
    <w:rsid w:val="208465D8"/>
    <w:rsid w:val="20C3321F"/>
    <w:rsid w:val="21B80854"/>
    <w:rsid w:val="21B90E78"/>
    <w:rsid w:val="22C30BE6"/>
    <w:rsid w:val="23BE2A01"/>
    <w:rsid w:val="24283596"/>
    <w:rsid w:val="27B20949"/>
    <w:rsid w:val="27FB62BC"/>
    <w:rsid w:val="28DD2273"/>
    <w:rsid w:val="29342F34"/>
    <w:rsid w:val="2A7D244B"/>
    <w:rsid w:val="2AF913FB"/>
    <w:rsid w:val="2CC441CC"/>
    <w:rsid w:val="2E2446A0"/>
    <w:rsid w:val="316E6365"/>
    <w:rsid w:val="335C6885"/>
    <w:rsid w:val="366D52F7"/>
    <w:rsid w:val="37357CCA"/>
    <w:rsid w:val="3CD85F7F"/>
    <w:rsid w:val="3E47606A"/>
    <w:rsid w:val="3F2662DB"/>
    <w:rsid w:val="3FE7577B"/>
    <w:rsid w:val="3FF37812"/>
    <w:rsid w:val="415011C2"/>
    <w:rsid w:val="41C55C07"/>
    <w:rsid w:val="44B92072"/>
    <w:rsid w:val="48B03D81"/>
    <w:rsid w:val="497D499A"/>
    <w:rsid w:val="4BDE4EA5"/>
    <w:rsid w:val="4BFB17A1"/>
    <w:rsid w:val="4D0347BD"/>
    <w:rsid w:val="532A086D"/>
    <w:rsid w:val="55EB1D4E"/>
    <w:rsid w:val="567857B9"/>
    <w:rsid w:val="599E7D41"/>
    <w:rsid w:val="5A1C60DC"/>
    <w:rsid w:val="5BCC6A5E"/>
    <w:rsid w:val="5C1075E8"/>
    <w:rsid w:val="5CFF1951"/>
    <w:rsid w:val="5DFF1020"/>
    <w:rsid w:val="622E5C0C"/>
    <w:rsid w:val="644F2874"/>
    <w:rsid w:val="6597408E"/>
    <w:rsid w:val="65AA11A0"/>
    <w:rsid w:val="6D994E55"/>
    <w:rsid w:val="6EB406DC"/>
    <w:rsid w:val="6F7A7103"/>
    <w:rsid w:val="70B75FBE"/>
    <w:rsid w:val="717573DC"/>
    <w:rsid w:val="72B25EF2"/>
    <w:rsid w:val="72B4110E"/>
    <w:rsid w:val="75EB2B08"/>
    <w:rsid w:val="76226A73"/>
    <w:rsid w:val="772C7A34"/>
    <w:rsid w:val="787362B9"/>
    <w:rsid w:val="789D25DD"/>
    <w:rsid w:val="79813654"/>
    <w:rsid w:val="7B6C2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line="360" w:lineRule="auto"/>
      <w:jc w:val="center"/>
      <w:outlineLvl w:val="1"/>
    </w:pPr>
    <w:rPr>
      <w:rFonts w:ascii="Cambria" w:hAnsi="Cambria"/>
      <w:b/>
      <w:bCs/>
      <w:sz w:val="24"/>
      <w:szCs w:val="32"/>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b/>
      <w:kern w:val="0"/>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next w:val="1"/>
    <w:qFormat/>
    <w:uiPriority w:val="0"/>
    <w:rPr>
      <w:sz w:val="28"/>
      <w:szCs w:val="24"/>
    </w:rPr>
  </w:style>
  <w:style w:type="paragraph" w:styleId="6">
    <w:name w:val="Normal Indent"/>
    <w:qFormat/>
    <w:uiPriority w:val="0"/>
    <w:pPr>
      <w:widowControl w:val="0"/>
      <w:spacing w:line="360" w:lineRule="auto"/>
      <w:ind w:firstLine="420" w:firstLineChars="200"/>
      <w:jc w:val="both"/>
    </w:pPr>
    <w:rPr>
      <w:rFonts w:eastAsia="仿宋" w:asciiTheme="minorAscii" w:hAnsiTheme="minorAscii" w:cstheme="minorBidi"/>
      <w:kern w:val="2"/>
      <w:sz w:val="24"/>
      <w:szCs w:val="24"/>
      <w:lang w:val="en-US" w:eastAsia="zh-CN" w:bidi="ar-SA"/>
    </w:rPr>
  </w:style>
  <w:style w:type="paragraph" w:styleId="7">
    <w:name w:val="Plain Text"/>
    <w:basedOn w:val="1"/>
    <w:next w:val="1"/>
    <w:qFormat/>
    <w:uiPriority w:val="0"/>
    <w:rPr>
      <w:rFonts w:ascii="宋体" w:hAnsi="Courier New"/>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line="380" w:lineRule="exact"/>
      <w:jc w:val="distribute"/>
    </w:pPr>
    <w:rPr>
      <w:rFonts w:eastAsia="黑体"/>
    </w:rPr>
  </w:style>
  <w:style w:type="paragraph" w:styleId="11">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2">
    <w:name w:val="Normal (Web)"/>
    <w:basedOn w:val="1"/>
    <w:qFormat/>
    <w:uiPriority w:val="0"/>
    <w:pPr>
      <w:spacing w:before="100" w:beforeAutospacing="1" w:after="100"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标4"/>
    <w:basedOn w:val="17"/>
    <w:next w:val="1"/>
    <w:qFormat/>
    <w:uiPriority w:val="99"/>
    <w:pPr>
      <w:spacing w:before="240"/>
      <w:outlineLvl w:val="3"/>
    </w:pPr>
    <w:rPr>
      <w:rFonts w:cs="Arial"/>
    </w:rPr>
  </w:style>
  <w:style w:type="paragraph" w:customStyle="1" w:styleId="17">
    <w:name w:val="标3"/>
    <w:basedOn w:val="1"/>
    <w:qFormat/>
    <w:uiPriority w:val="99"/>
    <w:pPr>
      <w:adjustRightInd w:val="0"/>
      <w:spacing w:before="360" w:after="360" w:line="240" w:lineRule="exact"/>
      <w:jc w:val="left"/>
      <w:outlineLvl w:val="2"/>
    </w:pPr>
    <w:rPr>
      <w:rFonts w:ascii="Arial" w:hAnsi="Arial"/>
      <w:b/>
      <w:bCs/>
      <w:kern w:val="24"/>
    </w:rPr>
  </w:style>
  <w:style w:type="paragraph" w:customStyle="1" w:styleId="18">
    <w:name w:val="商院正文"/>
    <w:basedOn w:val="1"/>
    <w:qFormat/>
    <w:uiPriority w:val="0"/>
    <w:pPr>
      <w:spacing w:line="560" w:lineRule="exact"/>
      <w:ind w:firstLine="200" w:firstLineChars="200"/>
    </w:pPr>
    <w:rPr>
      <w:rFonts w:ascii="仿宋" w:hAnsi="仿宋" w:eastAsia="仿宋"/>
      <w:sz w:val="32"/>
      <w:szCs w:val="32"/>
    </w:rPr>
  </w:style>
  <w:style w:type="paragraph" w:styleId="19">
    <w:name w:val="List Paragraph"/>
    <w:basedOn w:val="1"/>
    <w:next w:val="1"/>
    <w:qFormat/>
    <w:uiPriority w:val="34"/>
    <w:pPr>
      <w:ind w:firstLine="420" w:firstLineChars="200"/>
    </w:pPr>
  </w:style>
  <w:style w:type="paragraph" w:customStyle="1" w:styleId="20">
    <w:name w:val="正文样式"/>
    <w:qFormat/>
    <w:uiPriority w:val="0"/>
    <w:pPr>
      <w:widowControl w:val="0"/>
      <w:ind w:firstLine="420"/>
      <w:jc w:val="both"/>
    </w:pPr>
    <w:rPr>
      <w:rFonts w:hint="eastAsia" w:ascii="Times New Roman" w:hAnsi="Times New Roman" w:eastAsia="仿宋" w:cs="Times New Roman"/>
      <w:kern w:val="2"/>
      <w:sz w:val="24"/>
      <w:szCs w:val="24"/>
      <w:lang w:val="en-US" w:eastAsia="zh-Hans" w:bidi="ar-SA"/>
    </w:rPr>
  </w:style>
  <w:style w:type="paragraph" w:customStyle="1" w:styleId="21">
    <w:name w:val="正文文本缩进1"/>
    <w:qFormat/>
    <w:uiPriority w:val="0"/>
    <w:pPr>
      <w:widowControl w:val="0"/>
      <w:spacing w:line="360" w:lineRule="auto"/>
      <w:ind w:left="420" w:firstLine="420"/>
      <w:jc w:val="both"/>
    </w:pPr>
    <w:rPr>
      <w:rFonts w:ascii="Calibri" w:hAnsi="Calibri" w:eastAsia="宋体" w:cs="黑体"/>
      <w:bCs/>
      <w:kern w:val="2"/>
      <w:sz w:val="28"/>
      <w:szCs w:val="24"/>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14051</Words>
  <Characters>14248</Characters>
  <Lines>11</Lines>
  <Paragraphs>3</Paragraphs>
  <TotalTime>12</TotalTime>
  <ScaleCrop>false</ScaleCrop>
  <LinksUpToDate>false</LinksUpToDate>
  <CharactersWithSpaces>14378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2022-08-02T02:27:00Z</dcterms:created>
  <dc:creator>Administrator</dc:creator>
  <cp:lastModifiedBy>follow the sun</cp:lastModifiedBy>
  <dcterms:modified xsi:type="dcterms:W3CDTF">2023-03-17T07:02:14Z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CFD6A7E93E2743D0A7F92AF629528C9C</vt:lpwstr>
  </property>
</Properties>
</file>