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1AF89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</w:p>
    <w:p w14:paraId="7F97CBD7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山东城市服务职业学院</w:t>
      </w:r>
    </w:p>
    <w:p w14:paraId="5C1A60DA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仿宋_GB2312"/>
          <w:b w:val="0"/>
          <w:bCs w:val="0"/>
          <w:sz w:val="44"/>
          <w:szCs w:val="44"/>
          <w:highlight w:val="none"/>
          <w:lang w:eastAsia="zh-CN"/>
        </w:rPr>
        <w:t>校园警务室建设项目第1包采购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询价公告</w:t>
      </w:r>
    </w:p>
    <w:p w14:paraId="5CB36C46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sz w:val="32"/>
          <w:szCs w:val="32"/>
          <w:highlight w:val="none"/>
        </w:rPr>
        <w:t>一、采购内容</w:t>
      </w:r>
    </w:p>
    <w:p w14:paraId="3E33DCEA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山东城市服务职业学院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校园警务室建设项目第1包采购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，具体要求详见附件。</w:t>
      </w:r>
    </w:p>
    <w:p w14:paraId="41F78847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cs="宋体"/>
          <w:b w:val="0"/>
          <w:sz w:val="28"/>
          <w:szCs w:val="28"/>
          <w:highlight w:val="none"/>
        </w:rPr>
      </w:pPr>
      <w:r>
        <w:rPr>
          <w:rFonts w:ascii="黑体" w:hAnsi="黑体" w:eastAsia="黑体" w:cs="黑体"/>
          <w:b w:val="0"/>
          <w:sz w:val="32"/>
          <w:szCs w:val="32"/>
          <w:highlight w:val="none"/>
        </w:rPr>
        <w:t>二、供应商资格</w:t>
      </w:r>
    </w:p>
    <w:p w14:paraId="36F49F0C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（1）在中华人民共和国境内注册，具有独立承担民事责任能力的法人或其他组织或自然人；</w:t>
      </w:r>
    </w:p>
    <w:p w14:paraId="361A7713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（2）参加采购活动前3年内在经营活动中没有重大违法记录的书面声明;</w:t>
      </w:r>
    </w:p>
    <w:p w14:paraId="16124865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（3）财务状况报告，依法缴纳税收和社会保障资金的相关材料（需提供财务报告或资信证明或自拟格式承诺、近6个月内任意一个月的纳税证明和缴纳社保证明）；</w:t>
      </w:r>
    </w:p>
    <w:p w14:paraId="3802D7ED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（4）具有履行合同所必需的设备和专业技术能力；</w:t>
      </w:r>
    </w:p>
    <w:p w14:paraId="3C2D42AE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（5）无不良信用信息记录（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供应商自拟格式承诺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）；</w:t>
      </w:r>
    </w:p>
    <w:p w14:paraId="56E14BEC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（6）本项目不接受联合体参加。</w:t>
      </w:r>
    </w:p>
    <w:p w14:paraId="76D380D1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sz w:val="32"/>
          <w:szCs w:val="32"/>
          <w:highlight w:val="none"/>
        </w:rPr>
        <w:t>三、报价要求</w:t>
      </w:r>
    </w:p>
    <w:p w14:paraId="59C70A51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1. 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日9时00分—9时30分，到山东城市服务职业学院（山东省烟台市高新区科创西路60号）图信楼233提交报价文件。联系人和联系电话：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老师，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0535-2246687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。</w:t>
      </w:r>
    </w:p>
    <w:p w14:paraId="0E583F4F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2. 报价人须提供包含以下内容的加盖单位公章的报价资料一份：工商营业执照副本复印件、法定代表人身份证复印件、报价单、服务承诺（包括优惠条件承诺）、联系人及联系方式、供应商资格要求等。上述资料装订成册（需提供纸质版文件2份、电子扫描件1份），自行密封并在封面加盖单位公章，否则视为无效投标。所交资料因存档需要，采购人不予返还。</w:t>
      </w:r>
    </w:p>
    <w:p w14:paraId="22F5B3FD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3.报价为完成项目全部内容的总价，包括人工费、材料费、交通费、运输费、利润、税金等所有费用，且综合考虑价格上涨的不确定风险。</w:t>
      </w:r>
    </w:p>
    <w:p w14:paraId="51944402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sz w:val="32"/>
          <w:szCs w:val="32"/>
          <w:highlight w:val="none"/>
        </w:rPr>
        <w:t>四、其他要求</w:t>
      </w:r>
    </w:p>
    <w:p w14:paraId="5ED211E0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1.采购人不组织统一考察现场。供应商可自行踏勘项目现场，明确本项目的供货范围，制定合理的供货方案，确保产品达到采购人要求的质量标准。无论供应商对现场考察与否，都将被视为熟悉履行合同有关的一切情况，并承担一切与报价有关的风险、责任和义务。踏勘现场所发生的一切费用由供应商自行承担。</w:t>
      </w:r>
    </w:p>
    <w:p w14:paraId="17CBBF3F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2.采购人未设置最低限价，但供应商报价不得明显低于其他通过符合性审查供应商的报价，也不允许低于成本价报价。否则，采购人将认为其报价有可能影响产品质量、服务质量或不能诚信履约。供应商现场不能对其低报价做出合理解释的，采购人可根据《政府采购货物和服务招标投标管理办法》（财政部87号令）等法律法规认定为无效报价。</w:t>
      </w:r>
    </w:p>
    <w:p w14:paraId="39C4F4C4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3.成交供应商因自身原因放弃成交资格，将不允许再次参与该项目，一年内不允许参与采购人其他项目。</w:t>
      </w:r>
    </w:p>
    <w:p w14:paraId="68082AC5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4.报价资料应符合完全响应山东城市服务职业学院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校园警务室建设项目第1包采购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所有要求，要求见附件，不完全响应视为无效报价。</w:t>
      </w:r>
    </w:p>
    <w:p w14:paraId="2D617965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sz w:val="32"/>
          <w:szCs w:val="32"/>
          <w:highlight w:val="none"/>
        </w:rPr>
        <w:t>五、控制价及付款方式</w:t>
      </w:r>
    </w:p>
    <w:p w14:paraId="4E086568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1.控制价：本项目控制价为人民币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46100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.00元，超过控制价报价按照无效报价处理。</w:t>
      </w:r>
    </w:p>
    <w:p w14:paraId="17DB85B9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2.付款方式：本项目无预付款，供货安装调试完毕并验收合格一次性支付合同价款的100%。</w:t>
      </w:r>
    </w:p>
    <w:p w14:paraId="5151D922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3.供货期限：签订合同后10个自然日（含节假日、雨季等因素）内供货安装调试完毕。</w:t>
      </w:r>
      <w:bookmarkStart w:id="1" w:name="_GoBack"/>
      <w:bookmarkEnd w:id="1"/>
    </w:p>
    <w:p w14:paraId="291DFD75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质保期限：自验收合格之日起2年。</w:t>
      </w:r>
    </w:p>
    <w:p w14:paraId="3CA8F73F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.服务地点：山东城市服务职业学院指定地点。</w:t>
      </w:r>
    </w:p>
    <w:p w14:paraId="041E8E57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六、截止报价时间，报价人不足3家或在评审过程中实质性响应询价文件要求的报价人不足3家，采购人可改为竞争性谈判采购。</w:t>
      </w:r>
    </w:p>
    <w:p w14:paraId="641E559C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七、报价人提交报价资料视为同意该询价公告条款，采购人享有对该条款的解释权。</w:t>
      </w:r>
    </w:p>
    <w:p w14:paraId="73CE3FB5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附件：1.采购内容及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货物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参数</w:t>
      </w:r>
    </w:p>
    <w:p w14:paraId="78BCA2E7">
      <w:pPr>
        <w:adjustRightInd w:val="0"/>
        <w:snapToGrid w:val="0"/>
        <w:spacing w:line="579" w:lineRule="exact"/>
        <w:ind w:firstLine="1600" w:firstLineChars="5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2.报价文件格式</w:t>
      </w:r>
    </w:p>
    <w:p w14:paraId="5510F15C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</w:p>
    <w:p w14:paraId="580D5EE3">
      <w:pPr>
        <w:adjustRightInd w:val="0"/>
        <w:snapToGrid w:val="0"/>
        <w:spacing w:line="579" w:lineRule="exact"/>
        <w:ind w:firstLine="5440" w:firstLineChars="17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 xml:space="preserve">山东城市服务职业学院                     </w:t>
      </w:r>
    </w:p>
    <w:p w14:paraId="58E07C52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 xml:space="preserve">                                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日</w:t>
      </w:r>
    </w:p>
    <w:p w14:paraId="13EC7F45">
      <w:pPr>
        <w:rPr>
          <w:rFonts w:hint="eastAsia" w:ascii="宋体" w:hAnsi="宋体" w:cs="宋体"/>
          <w:b/>
          <w:bCs/>
          <w:kern w:val="44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kern w:val="44"/>
          <w:sz w:val="28"/>
          <w:szCs w:val="28"/>
          <w:highlight w:val="none"/>
        </w:rPr>
        <w:br w:type="page"/>
      </w:r>
    </w:p>
    <w:p w14:paraId="66EB8EBD">
      <w:pPr>
        <w:adjustRightInd w:val="0"/>
        <w:snapToGrid w:val="0"/>
        <w:spacing w:line="579" w:lineRule="exact"/>
        <w:ind w:firstLine="562" w:firstLineChars="200"/>
        <w:rPr>
          <w:rFonts w:hint="eastAsia" w:ascii="仿宋" w:hAnsi="仿宋" w:eastAsia="仿宋" w:cs="仿宋"/>
          <w:b/>
          <w:bCs/>
          <w:kern w:val="4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kern w:val="44"/>
          <w:sz w:val="28"/>
          <w:szCs w:val="28"/>
          <w:highlight w:val="none"/>
        </w:rPr>
        <w:t>附件1：采购内容及</w:t>
      </w:r>
      <w:r>
        <w:rPr>
          <w:rFonts w:hint="eastAsia" w:ascii="仿宋" w:hAnsi="仿宋" w:eastAsia="仿宋" w:cs="仿宋"/>
          <w:b/>
          <w:bCs/>
          <w:kern w:val="44"/>
          <w:sz w:val="28"/>
          <w:szCs w:val="28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b/>
          <w:bCs/>
          <w:kern w:val="44"/>
          <w:sz w:val="28"/>
          <w:szCs w:val="28"/>
          <w:highlight w:val="none"/>
        </w:rPr>
        <w:t>参数</w:t>
      </w:r>
    </w:p>
    <w:tbl>
      <w:tblPr>
        <w:tblStyle w:val="18"/>
        <w:tblW w:w="495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438"/>
        <w:gridCol w:w="4480"/>
        <w:gridCol w:w="825"/>
        <w:gridCol w:w="1020"/>
      </w:tblGrid>
      <w:tr w14:paraId="33A9A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F1E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bookmarkStart w:id="0" w:name="_Toc2241939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序 号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640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产品名称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C15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参数要求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9D2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单位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97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数量</w:t>
            </w:r>
          </w:p>
        </w:tc>
      </w:tr>
      <w:tr w14:paraId="1FF96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107F7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F164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会议桌（大厅）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9266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规格：≥4500mm*1500mm*750mm，配备话筒2支，网络、电源插座桌面线盒1套。
</w:t>
            </w:r>
          </w:p>
          <w:p w14:paraId="10AC6B8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（2）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基材：台面板采用E1级环保中密度纤维板, 游离甲醛释放量为1.7mg/100g；其他部位采用E1级刨花板，游离甲醛释放量2.6mg/100g。
</w:t>
            </w:r>
          </w:p>
          <w:p w14:paraId="3E72D1C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（3）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面材：采用胡桃木木皮饰面，厚度≥0.6mm，木皮宽度≥200mm，木皮应木纹流畅，色泽纹理一致，接缝处自然均匀无瑕疵，不允许有脱胶、鼓泡、压痕、划伤、胶渍等要保持台面的力度均衡经过防虫防腐处理，耐磨性好，纹理清晰自然，色泽一致。
</w:t>
            </w:r>
          </w:p>
          <w:p w14:paraId="297FB26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（4）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油饰：环保油漆，流平性、附着力、透明度好、硬度高、耐磨性好；色泽柔和持久耐腐蚀手感良好；耐弱酸碱、耐腐蚀性、耐油性、耐湿热性良好；底漆要求流平性、透明性好、附着力强非显孔亚光。采用自动喷涂线，密闭油饰，减少对环境污染；板件运行线速和油漆喷涂量可调。（5）使用五金连接件。
</w:t>
            </w:r>
          </w:p>
          <w:p w14:paraId="598F22F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（6）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工艺：人造板件全部双饰面、封四边，走线孔内缘和隐蔽部位全部封边处理，台面板两面双贴木皮，胡桃木实木封边，木材含水率8%—11%，两面均衡油饰。（7）结构：具有走线功能，配可调节下脚。 
</w:t>
            </w:r>
          </w:p>
          <w:p w14:paraId="5C40535C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（8）贴面胶：采用环保热压贴面胶。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FD6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BE66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</w:tr>
      <w:tr w14:paraId="665C2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767EF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2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A0DB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办公椅（大厅）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E7A4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规格:≥750mm*410mm*560mm。
</w:t>
            </w:r>
          </w:p>
          <w:p w14:paraId="70C9F76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（2）靠背采用黑色全新料加纤框架，透气网布。
</w:t>
            </w:r>
          </w:p>
          <w:p w14:paraId="7E39271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（3）座包采用海绵，透气网布。
</w:t>
            </w:r>
          </w:p>
          <w:p w14:paraId="1486392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（4）黑色全新料加纤固定扶手。
</w:t>
            </w:r>
          </w:p>
          <w:p w14:paraId="7135441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（5）配备腰托。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5A84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把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49FBB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12</w:t>
            </w:r>
          </w:p>
        </w:tc>
      </w:tr>
      <w:tr w14:paraId="6AAE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5043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3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3795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长条桌（询问室、调解室）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39A1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规格≥2200mm*1100mm*750mm。
</w:t>
            </w:r>
          </w:p>
          <w:p w14:paraId="166958A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（2）基材：采用环保E1级三聚氰胺饰面环保刨花板，符合国家环保标准要求。
（3）工艺：所有板件双贴面，封四边（隐蔽部位均封闭处理）。所有外部封边采用与板件颜色、纹理配套的2mm厚PVC封边带。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E56B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EE51E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2</w:t>
            </w:r>
          </w:p>
        </w:tc>
      </w:tr>
      <w:tr w14:paraId="33BAE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834E0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4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7338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办公椅（询问室、调解室）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ACAA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规格：≥750mm*410mm*560mm。
</w:t>
            </w:r>
          </w:p>
          <w:p w14:paraId="0293D80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（2）靠背采用黑色全新料加纤框架，透气网布。
</w:t>
            </w:r>
          </w:p>
          <w:p w14:paraId="35FF78D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（3）座包采用海绵，透气网布。
</w:t>
            </w:r>
          </w:p>
          <w:p w14:paraId="2B4D8DE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（4）黑色全新料加纤固定扶手。
</w:t>
            </w:r>
          </w:p>
          <w:p w14:paraId="1C86E6E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（5）配备腰托。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BBBE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把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8D8CB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12</w:t>
            </w:r>
          </w:p>
        </w:tc>
      </w:tr>
      <w:tr w14:paraId="51721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4343A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5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860F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办公桌（值班室）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9201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规格：≥1400mm*700mm。
</w:t>
            </w:r>
          </w:p>
          <w:p w14:paraId="076BBBD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（2）基材：采用环保E1级三聚氰胺饰面环保刨花板，符合国家环保标准要求。
（3）工艺：所有板件双贴面，封四边（隐蔽部位均封闭处理）。所有外部封边采用与板件颜色、纹理配套的2mm厚PVC封边带。
</w:t>
            </w:r>
          </w:p>
          <w:p w14:paraId="67F75D8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（4）配备腰托。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1310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张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393D2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</w:tr>
      <w:tr w14:paraId="3F544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1D9F9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6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9373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办公椅（值班室）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D57C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规格：≥100cm*58cm*48cm。
</w:t>
            </w:r>
          </w:p>
          <w:p w14:paraId="1097096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（2）靠背采用黑色全新料加纤框架，透气网布。
</w:t>
            </w:r>
          </w:p>
          <w:p w14:paraId="5A0FD7E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（3）座包采用海绵，透气网布。
</w:t>
            </w:r>
          </w:p>
          <w:p w14:paraId="1C461D6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（4）黑色全新料加纤固定扶手。
</w:t>
            </w:r>
          </w:p>
          <w:p w14:paraId="2660EEF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（5）配备腰托。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C47E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把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5828C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</w:tr>
      <w:tr w14:paraId="3ECCA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B90AF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7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B6B2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办公沙发（值班室）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B06D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规格：≥2000*1000mm。
</w:t>
            </w:r>
          </w:p>
          <w:p w14:paraId="7158076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（2）面料：采用西皮包裹，皮面光泽度好，质感柔和，透气性强，防虫、防滑、不褪色，柔软而富有韧性，具有冬暖夏凉的效果。
</w:t>
            </w:r>
          </w:p>
          <w:p w14:paraId="7E1FE4F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3）曲木板：依据人体工学原理设计，曲木板采用德华1.5mm夹板多层垫压成型,成型板材约12mm,板材承受压力达300KG,经防潮、防腐、防虫等化学处理。（4）海绵：采用高密度海绵或一次性压注PU成型发泡定型棉，软硬适中，回弹性强，抗变形能力强，根据人体工学原理设计，泡棉密度座面≥40kg/m3，靠背密度≥35kg/m3，回弹力≥40%；坐感舒适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A235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8F52A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</w:tr>
      <w:tr w14:paraId="724A8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03F21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A02B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办公桌（户政室）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72FE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规格：≥1400mm*700mm。
</w:t>
            </w:r>
          </w:p>
          <w:p w14:paraId="5F76B97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（2）基材：采用环保E1级三聚氰胺饰面环保刨花板，符合国家环保标准要求。
工艺：所有板件双贴面，封四边（隐蔽部位均封闭处理）。所有外部封边采用与板件颜色、纹理配套的2mm厚PVC封边带。（3）配备抽屉锁。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931B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张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4B7C1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</w:tr>
      <w:tr w14:paraId="0E598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4A486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9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00DE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文件柜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5A7E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铁皮文件柜，上双门玻璃，下钢制双门。
</w:t>
            </w:r>
          </w:p>
          <w:p w14:paraId="1288100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（2）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规格：≥1800mm*750mm*350mm。
（3）主体采用裸板0.5厚一级冷轧钢板或等同级别的冷轧钢板。
</w:t>
            </w:r>
          </w:p>
          <w:p w14:paraId="4066A08A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（4）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表面采用热固性环氧树脂粉末或等用级别的粉末，环保无污染。
</w:t>
            </w:r>
          </w:p>
          <w:p w14:paraId="427AEF52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（5）纳米陶化工艺消除了磷和重金属，从而大幅降低了健康、安全和环境方面的危险。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8304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个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1FB05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6</w:t>
            </w:r>
          </w:p>
        </w:tc>
      </w:tr>
      <w:tr w14:paraId="18CC9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48952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231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连排椅（大厅）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852CB"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（1）3人位连排椅。
</w:t>
            </w:r>
          </w:p>
          <w:p w14:paraId="75F8289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（2）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规格：≥1750*650*780mm。
</w:t>
            </w:r>
          </w:p>
          <w:p w14:paraId="4149FCD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（3）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扶手脚：采用拉伸板铸成型后，除锈电镀处理。
</w:t>
            </w:r>
          </w:p>
          <w:p w14:paraId="0C0BBE8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（4）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边条：铝合金抛光后电镀镀铬。
（5）座板：采用1.5mm加厚冷轧钢板，除锈处理后，静电镀粉喷涂。
</w:t>
            </w:r>
          </w:p>
          <w:p w14:paraId="6C0A4D07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（6）横梁：2.0mm后方块钢管，喷涂空调户外涂粉。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20F9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张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D7344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</w:tr>
      <w:tr w14:paraId="7F704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46F50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96F8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茶几（值班室）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A985"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规格：≥600mm*1200mm*450mm，环保E1级中密度纤维板基材，A级实木贴皮饰面，环保聚酯漆。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99A3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个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CD38C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</w:tr>
      <w:tr w14:paraId="71F40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52083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12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D720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功放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E975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四声道合并级功放，带光纤同轴，USB接口，FM收音，无线蓝牙，专业移频防啸叫，专业延时、重复、独立调进节，四路麦克风输入，麦克风1优先功能，带遥控器。
</w:t>
            </w:r>
          </w:p>
          <w:p w14:paraId="4BA78C5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（2）功率≥4*130W。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C7A7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B6E78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</w:tr>
      <w:tr w14:paraId="722EA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D703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13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27D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无线鹅颈话筒一拖四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F340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内置≥3编组叠机频率,一键调取。（2）具有IR红外线自动对频功能,一键自动对频锁定。
</w:t>
            </w:r>
          </w:p>
          <w:p w14:paraId="20B111F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（3）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四通道音量独立可调.提供4+1音频输出.四通道各音频音量输出独立可控。（4）提供多种发射器可选.发射器中会议/手持/领夹可以混搭使用互不干扰。
（5）信道数目：≥200个。
</w:t>
            </w:r>
          </w:p>
          <w:p w14:paraId="2EB1152A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（6）信道间隔：300KHZ；频率稳定度：±0.005%。
</w:t>
            </w:r>
          </w:p>
          <w:p w14:paraId="19ECD040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（7）动态范围：100db；最大偏移：±45KHZ。
</w:t>
            </w:r>
          </w:p>
          <w:p w14:paraId="14D6A2E3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（8）音频频率响应：40HZ-18KHZ(±2db)。（9）综合信噪比：&gt;105db；综合失真：≤0.5%。
</w:t>
            </w:r>
          </w:p>
          <w:p w14:paraId="52CFAAC7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（10）中频：110MHZ.10.7MHZ；天线接入TNC/50Ω；灵敏度：12dBuV(80dbS/N)；灵敏度调节范围：12-32d。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389B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F1AAB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</w:tr>
      <w:tr w14:paraId="5C705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1E54D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14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F051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吸顶喇叭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693F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谐振频率40Hz。
</w:t>
            </w:r>
          </w:p>
          <w:p w14:paraId="745FF35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（2）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频率响应40Hz-20KHz。
</w:t>
            </w:r>
          </w:p>
          <w:p w14:paraId="12F45E5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（3）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灵敏度86dB/W/M。
</w:t>
            </w:r>
          </w:p>
          <w:p w14:paraId="7EBF6D9F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（4）功率：不小于20W。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FEA8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A8D59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4</w:t>
            </w:r>
          </w:p>
        </w:tc>
      </w:tr>
      <w:tr w14:paraId="2B51F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5D879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15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FB32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24口全千兆交换机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2562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接口类型：24千兆电+4千兆光。</w:t>
            </w:r>
          </w:p>
          <w:p w14:paraId="4317CD8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（2）交换容量：672Gbps。
</w:t>
            </w:r>
          </w:p>
          <w:p w14:paraId="77CA952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（3）包转发率：146Mpps。
</w:t>
            </w:r>
          </w:p>
          <w:p w14:paraId="7580363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）MAC：16K，支持MAC地址过滤，支持静态、动态和黑洞MAC地址表项。
</w:t>
            </w:r>
          </w:p>
          <w:p w14:paraId="292DCD5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）POE：不支持。
</w:t>
            </w:r>
          </w:p>
          <w:p w14:paraId="6E1D6BE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）电源：AC：100～240V，50/60Hz。</w:t>
            </w:r>
          </w:p>
          <w:p w14:paraId="38731A1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（7）整机功耗：24W。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160B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6BB2A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2</w:t>
            </w:r>
          </w:p>
        </w:tc>
      </w:tr>
      <w:tr w14:paraId="3962E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D0E34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16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1E57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机柜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32F4"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规格：≥600*600*2200mm，机柜前面面板为钢化玻璃门，后面面板钣金为平板背板。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3180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4F2E5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</w:tr>
      <w:tr w14:paraId="68C13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3A964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17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25DD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延长线HDMI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1371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支持高清信号 2.1 版本，速率≥48Gbps；支持8K分辨率，兼容各类高清设备，传输无辐射、无延时、无衰减。
（2）配备带屏蔽的正标高清信号接头，保障信号稳定。
</w:t>
            </w:r>
          </w:p>
          <w:p w14:paraId="53960B6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（3）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线缆拉伸力≥200N。
</w:t>
            </w:r>
          </w:p>
          <w:p w14:paraId="02E68F44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（4）色彩与画质：采用 Rec.2020标准比色法，图像采样深度≥12位RGB。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E39C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个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129CD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30</w:t>
            </w:r>
          </w:p>
        </w:tc>
      </w:tr>
      <w:tr w14:paraId="203F4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588DC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91C6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音频线插头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365A1"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插头类型：TRS（立体声）：3 段式结构，支持传输左右声道音频（如耳机、线路输入）。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88CE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个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E3F75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50</w:t>
            </w:r>
          </w:p>
        </w:tc>
      </w:tr>
      <w:tr w14:paraId="53BC5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83348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19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53F9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6.35mm音频线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ECC9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阻抗：4Ω - 10kΩ。
</w:t>
            </w:r>
          </w:p>
          <w:p w14:paraId="08D76E3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（2）线径：导体截面积：≥0.5mm²。
（3）屏蔽层：编织屏蔽（铜网）。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BD42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个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DD416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50</w:t>
            </w:r>
          </w:p>
        </w:tc>
      </w:tr>
      <w:bookmarkEnd w:id="0"/>
    </w:tbl>
    <w:p w14:paraId="49B2314E">
      <w:pP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br w:type="page"/>
      </w:r>
    </w:p>
    <w:p w14:paraId="4F7E31EA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附件2：报价文件格式</w:t>
      </w:r>
    </w:p>
    <w:p w14:paraId="1483E92E">
      <w:pPr>
        <w:pStyle w:val="12"/>
        <w:adjustRightInd w:val="0"/>
        <w:snapToGrid w:val="0"/>
        <w:spacing w:line="579" w:lineRule="exact"/>
        <w:rPr>
          <w:rFonts w:hint="eastAsia" w:ascii="仿宋" w:hAnsi="仿宋" w:eastAsia="仿宋" w:cs="仿宋"/>
          <w:kern w:val="44"/>
          <w:sz w:val="28"/>
          <w:szCs w:val="28"/>
          <w:highlight w:val="none"/>
        </w:rPr>
      </w:pPr>
    </w:p>
    <w:p w14:paraId="57F89644">
      <w:pPr>
        <w:adjustRightInd w:val="0"/>
        <w:snapToGrid w:val="0"/>
        <w:spacing w:line="579" w:lineRule="exact"/>
        <w:jc w:val="center"/>
        <w:rPr>
          <w:rFonts w:ascii="黑体" w:eastAsia="黑体"/>
          <w:sz w:val="44"/>
          <w:szCs w:val="44"/>
          <w:highlight w:val="none"/>
        </w:rPr>
      </w:pPr>
      <w:r>
        <w:rPr>
          <w:rFonts w:hint="eastAsia" w:ascii="黑体" w:eastAsia="黑体"/>
          <w:sz w:val="44"/>
          <w:szCs w:val="44"/>
          <w:highlight w:val="none"/>
        </w:rPr>
        <w:t>报价单</w:t>
      </w:r>
    </w:p>
    <w:p w14:paraId="29DA6764">
      <w:pPr>
        <w:adjustRightInd w:val="0"/>
        <w:snapToGrid w:val="0"/>
        <w:spacing w:line="579" w:lineRule="exact"/>
        <w:ind w:firstLine="640"/>
        <w:rPr>
          <w:rFonts w:ascii="仿宋_GB2312" w:eastAsia="仿宋_GB2312"/>
          <w:sz w:val="32"/>
          <w:szCs w:val="32"/>
          <w:highlight w:val="none"/>
        </w:rPr>
      </w:pPr>
    </w:p>
    <w:p w14:paraId="3BA81DF4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6ABC4255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我单位在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山东城市服务职业学院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校园警务室建设项目第1包采购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中的报价为人民币___________元，大写__________元。</w:t>
      </w:r>
    </w:p>
    <w:tbl>
      <w:tblPr>
        <w:tblStyle w:val="18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949"/>
        <w:gridCol w:w="3637"/>
        <w:gridCol w:w="614"/>
        <w:gridCol w:w="774"/>
        <w:gridCol w:w="936"/>
        <w:gridCol w:w="937"/>
      </w:tblGrid>
      <w:tr w14:paraId="25988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6C1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序 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093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产品名称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1B29A">
            <w:pPr>
              <w:widowControl/>
              <w:tabs>
                <w:tab w:val="left" w:pos="1560"/>
                <w:tab w:val="center" w:pos="2191"/>
              </w:tabs>
              <w:ind w:firstLine="480" w:firstLineChars="20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品牌、型号、技术参数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F46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单位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548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数量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38D8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单价（元）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E1E5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总价（元）</w:t>
            </w:r>
          </w:p>
        </w:tc>
      </w:tr>
      <w:tr w14:paraId="0374F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A0AD0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22FE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会议桌（大厅）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9273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3264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85C3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A729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AEDF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16901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87D1E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2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ED63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办公椅（大厅）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DA0B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29CB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把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2049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D30D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477C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72028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9A692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3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6C01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长条桌（询问室、调解室）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F55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C7E7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9388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CB86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F608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6D04D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54F43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4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BD4B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办公椅（询问室、调解室）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F52E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4A95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把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F4D0C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6FD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4112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79997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C65A6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5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B838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办公桌（值班室）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E4D1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9B7E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张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30577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96C8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D861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5E696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E4608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6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E6E3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办公椅（值班室）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74A3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31B1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把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8458E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5DFB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C372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33890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FD050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7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F5C3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办公沙发（值班室）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23A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7D9F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F00A7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2594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70F7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1492C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F7EAD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8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9AA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办公桌（户政室）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506E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EDF4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张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0096E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CF3D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3DFD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52C0B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B3E77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9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EEFE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文件柜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90C4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6ED0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04E56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3C3B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10CC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5020B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6F100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10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C128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连排椅（大厅）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7406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329E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张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63B45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B1F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6B48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5E5D9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1D6AC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11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7E4D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茶几（值班室）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4E905"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D62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81F84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5F29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525A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70D01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053BE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12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DAA3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功放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70D1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97F9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76C40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A20F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4483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10BA2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623D2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13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18E6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无线鹅颈话筒一拖四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F28A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1815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88F64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FE1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5956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27B90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1274D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14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7E9F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吸顶喇叭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5CB7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C26A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C3143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5F88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710A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2D098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93467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15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E177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24口全千兆交换机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BFB4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A77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A1460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0DE1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AF0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5319D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417F1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16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F0B9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机柜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E0C79"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A73B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AE9E1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56D3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ED40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36B08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323A8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17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DB6C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延长线HDMI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F82D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3C5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CC580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30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466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712C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75A78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133AC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18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7063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音频线插头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0405A"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7BE1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5B569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50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96D8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E12B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6918F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E6C19">
            <w:pPr>
              <w:tabs>
                <w:tab w:val="left" w:pos="3744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19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DA90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6.35mm音频线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D6C7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C53B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2821A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  <w:t>50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6382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D369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</w:tbl>
    <w:p w14:paraId="24C014A9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04A8D2C"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宋体" w:eastAsia="仿宋_GB2312" w:cs="宋体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响应情况：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（是/否）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完全响应询价公告内容。</w:t>
      </w:r>
    </w:p>
    <w:p w14:paraId="60A2D448">
      <w:pPr>
        <w:pStyle w:val="7"/>
        <w:adjustRightInd w:val="0"/>
        <w:snapToGrid w:val="0"/>
        <w:spacing w:after="0" w:line="579" w:lineRule="exact"/>
        <w:ind w:firstLine="640"/>
        <w:rPr>
          <w:rFonts w:ascii="仿宋_GB2312" w:eastAsia="仿宋_GB2312"/>
          <w:sz w:val="32"/>
          <w:szCs w:val="32"/>
          <w:highlight w:val="none"/>
        </w:rPr>
      </w:pPr>
    </w:p>
    <w:p w14:paraId="446003C2">
      <w:pPr>
        <w:pStyle w:val="7"/>
        <w:adjustRightInd w:val="0"/>
        <w:snapToGrid w:val="0"/>
        <w:spacing w:after="0" w:line="579" w:lineRule="exact"/>
        <w:ind w:firstLine="320" w:firstLineChars="1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联系人：</w:t>
      </w:r>
    </w:p>
    <w:p w14:paraId="5006EFED">
      <w:pPr>
        <w:adjustRightInd w:val="0"/>
        <w:snapToGrid w:val="0"/>
        <w:spacing w:line="579" w:lineRule="exact"/>
        <w:ind w:firstLine="320" w:firstLineChars="1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联系电话：</w:t>
      </w:r>
    </w:p>
    <w:p w14:paraId="7199C36C">
      <w:pPr>
        <w:pStyle w:val="3"/>
        <w:adjustRightInd w:val="0"/>
        <w:snapToGrid w:val="0"/>
        <w:spacing w:line="579" w:lineRule="exact"/>
        <w:ind w:firstLine="643"/>
        <w:jc w:val="both"/>
        <w:rPr>
          <w:sz w:val="32"/>
          <w:highlight w:val="none"/>
        </w:rPr>
      </w:pPr>
    </w:p>
    <w:p w14:paraId="0ECA7F14">
      <w:pPr>
        <w:adjustRightInd w:val="0"/>
        <w:snapToGrid w:val="0"/>
        <w:spacing w:line="579" w:lineRule="exact"/>
        <w:ind w:firstLine="420"/>
        <w:rPr>
          <w:highlight w:val="none"/>
        </w:rPr>
      </w:pPr>
    </w:p>
    <w:p w14:paraId="5F433712">
      <w:pPr>
        <w:pStyle w:val="7"/>
        <w:adjustRightInd w:val="0"/>
        <w:snapToGrid w:val="0"/>
        <w:spacing w:after="0" w:line="579" w:lineRule="exact"/>
        <w:ind w:firstLine="640"/>
        <w:jc w:val="center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 xml:space="preserve">                 报价单位（章）：</w:t>
      </w:r>
    </w:p>
    <w:p w14:paraId="32D4F70C">
      <w:pPr>
        <w:pStyle w:val="7"/>
        <w:adjustRightInd w:val="0"/>
        <w:snapToGrid w:val="0"/>
        <w:spacing w:after="0" w:line="579" w:lineRule="exact"/>
        <w:ind w:firstLine="640"/>
        <w:jc w:val="center"/>
        <w:rPr>
          <w:highlight w:val="none"/>
        </w:rPr>
      </w:pPr>
      <w:r>
        <w:rPr>
          <w:rFonts w:hint="eastAsia"/>
          <w:sz w:val="32"/>
          <w:szCs w:val="32"/>
          <w:highlight w:val="none"/>
        </w:rPr>
        <w:t xml:space="preserve">                            2025年   月  日</w:t>
      </w:r>
    </w:p>
    <w:p w14:paraId="061B8541">
      <w:pPr>
        <w:adjustRightInd w:val="0"/>
        <w:snapToGrid w:val="0"/>
        <w:spacing w:line="579" w:lineRule="exact"/>
        <w:ind w:firstLine="420"/>
        <w:rPr>
          <w:highlight w:val="none"/>
        </w:rPr>
      </w:pPr>
    </w:p>
    <w:p w14:paraId="131E19FA">
      <w:pPr>
        <w:pStyle w:val="12"/>
        <w:adjustRightInd w:val="0"/>
        <w:snapToGrid w:val="0"/>
        <w:spacing w:line="579" w:lineRule="exact"/>
        <w:ind w:firstLine="422"/>
        <w:jc w:val="left"/>
        <w:rPr>
          <w:b/>
          <w:bCs/>
          <w:highlight w:val="none"/>
        </w:rPr>
      </w:pPr>
    </w:p>
    <w:p w14:paraId="02E5E0E4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kern w:val="44"/>
          <w:sz w:val="28"/>
          <w:szCs w:val="28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br w:type="page"/>
      </w:r>
    </w:p>
    <w:p w14:paraId="119A4506">
      <w:pPr>
        <w:adjustRightInd w:val="0"/>
        <w:snapToGrid w:val="0"/>
        <w:spacing w:line="579" w:lineRule="exact"/>
        <w:jc w:val="center"/>
        <w:rPr>
          <w:rFonts w:ascii="黑体" w:eastAsia="黑体"/>
          <w:sz w:val="36"/>
          <w:szCs w:val="36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近三年在经营活动中无重大违法记录声明函</w:t>
      </w:r>
    </w:p>
    <w:p w14:paraId="390B28F6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C86F813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58C4D3D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我公司参与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</w:rPr>
        <w:t xml:space="preserve">      （项目名称）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前近三年在经营活动中无重大违法记录，特此声明。</w:t>
      </w:r>
    </w:p>
    <w:p w14:paraId="5EE962D4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我公司为此声明的真实性负责，如有欺骗、隐瞒、谎报等行为，愿意接受采购人按照国家相关法律法规等规定给予的处罚。</w:t>
      </w:r>
    </w:p>
    <w:p w14:paraId="135980EB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32C1779D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2AD982AA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1B40C389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称（盖章）：</w:t>
      </w:r>
    </w:p>
    <w:p w14:paraId="256F7070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3B41B1A9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489F88A6">
      <w:pPr>
        <w:ind w:firstLine="64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sz w:val="32"/>
          <w:szCs w:val="32"/>
          <w:highlight w:val="none"/>
        </w:rPr>
        <w:br w:type="page"/>
      </w:r>
    </w:p>
    <w:p w14:paraId="0AD9700A">
      <w:pPr>
        <w:adjustRightInd w:val="0"/>
        <w:snapToGrid w:val="0"/>
        <w:spacing w:line="579" w:lineRule="exact"/>
        <w:jc w:val="center"/>
        <w:rPr>
          <w:rFonts w:hint="eastAsia" w:ascii="仿宋" w:hAnsi="仿宋" w:eastAsia="黑体" w:cs="仿宋"/>
          <w:sz w:val="32"/>
          <w:szCs w:val="32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财务状况承诺</w:t>
      </w:r>
    </w:p>
    <w:p w14:paraId="46CFF1FD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ECD2162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6C8B1A2C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我公司郑重承诺具有良好的财务状况、 商业信誉良好、财务会计制度健全；严格按照《企业会计准则》和《企业会计制度》的规定编制财务报表，财务报告符合适用的会计准则和相关会计制度的规定。</w:t>
      </w:r>
    </w:p>
    <w:p w14:paraId="6D2F228B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629C2368">
      <w:pPr>
        <w:wordWrap w:val="0"/>
        <w:spacing w:line="560" w:lineRule="exac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7C0385B5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28F6D4A5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称（盖章）：</w:t>
      </w:r>
    </w:p>
    <w:p w14:paraId="6997B628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17ABE6AF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4FAF3529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5D3F2726">
      <w:pPr>
        <w:ind w:firstLine="64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sz w:val="32"/>
          <w:szCs w:val="32"/>
          <w:highlight w:val="none"/>
        </w:rPr>
        <w:br w:type="page"/>
      </w:r>
    </w:p>
    <w:p w14:paraId="7142C45D">
      <w:pPr>
        <w:adjustRightInd w:val="0"/>
        <w:snapToGrid w:val="0"/>
        <w:spacing w:line="579" w:lineRule="exact"/>
        <w:jc w:val="center"/>
        <w:rPr>
          <w:rFonts w:hint="eastAsia" w:ascii="仿宋" w:hAnsi="仿宋" w:eastAsia="黑体" w:cs="仿宋"/>
          <w:sz w:val="32"/>
          <w:szCs w:val="32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具有履行合同所必需的设备和专业技术能力的承诺</w:t>
      </w:r>
    </w:p>
    <w:p w14:paraId="710656C2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71AB38E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0589C6C2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我单位郑重承诺，我单位具有履行本项目合同所必需的设备和专业技术能力。</w:t>
      </w:r>
    </w:p>
    <w:p w14:paraId="1A1242E5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1A35E772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062AA24C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0E080B53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称（盖章）：</w:t>
      </w:r>
    </w:p>
    <w:p w14:paraId="1D30796C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49F9920F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1004695D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153CD0E0">
      <w:pPr>
        <w:ind w:firstLine="64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sz w:val="32"/>
          <w:szCs w:val="32"/>
          <w:highlight w:val="none"/>
        </w:rPr>
        <w:br w:type="page"/>
      </w:r>
    </w:p>
    <w:p w14:paraId="199812A3">
      <w:pPr>
        <w:adjustRightInd w:val="0"/>
        <w:snapToGrid w:val="0"/>
        <w:spacing w:line="579" w:lineRule="exact"/>
        <w:jc w:val="center"/>
        <w:rPr>
          <w:rFonts w:ascii="黑体" w:eastAsia="黑体"/>
          <w:sz w:val="36"/>
          <w:szCs w:val="36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无不良信用记录声明</w:t>
      </w:r>
    </w:p>
    <w:p w14:paraId="4FD47C4E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2F590BA2">
      <w:pPr>
        <w:adjustRightInd w:val="0"/>
        <w:snapToGrid w:val="0"/>
        <w:spacing w:line="579" w:lineRule="exac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4DDAF62A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我公司郑重声明，我公司无以下不良信用记录情形：</w:t>
      </w:r>
    </w:p>
    <w:p w14:paraId="5167FF4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公司被政府采购监管部门列入政府采购严重违法失信行为记录名单；</w:t>
      </w:r>
    </w:p>
    <w:p w14:paraId="4EF4AD0B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公司被工商行政管理部门列入企业经营异常名录；</w:t>
      </w:r>
    </w:p>
    <w:p w14:paraId="7DFBB11A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公司被税务部门列入重大税收违法案件当事人名单；</w:t>
      </w:r>
    </w:p>
    <w:p w14:paraId="505F2D9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公司被列入失信被执行人；</w:t>
      </w:r>
    </w:p>
    <w:p w14:paraId="02B01315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特此承诺：如具有不良信用记录，贵方可取消我公司成交资格或者不授予合同，由此产生的费用及相关责任均由我公司自行承担。</w:t>
      </w:r>
    </w:p>
    <w:p w14:paraId="7EC6C0F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2783F158">
      <w:pPr>
        <w:adjustRightInd w:val="0"/>
        <w:snapToGrid w:val="0"/>
        <w:spacing w:line="579" w:lineRule="exact"/>
        <w:ind w:firstLine="3840" w:firstLineChars="1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称（盖章）：</w:t>
      </w:r>
    </w:p>
    <w:p w14:paraId="2FC1B225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403E9C79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4585D12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51153836">
      <w:pPr>
        <w:ind w:firstLine="64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sz w:val="32"/>
          <w:szCs w:val="32"/>
          <w:highlight w:val="none"/>
        </w:rPr>
        <w:br w:type="page"/>
      </w:r>
    </w:p>
    <w:p w14:paraId="70CB64F8">
      <w:pPr>
        <w:adjustRightInd w:val="0"/>
        <w:snapToGrid w:val="0"/>
        <w:spacing w:line="579" w:lineRule="exact"/>
        <w:jc w:val="center"/>
        <w:rPr>
          <w:rFonts w:ascii="黑体" w:eastAsia="黑体"/>
          <w:sz w:val="36"/>
          <w:szCs w:val="36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法定代表人身份证明</w:t>
      </w:r>
    </w:p>
    <w:p w14:paraId="1387E69A">
      <w:pPr>
        <w:spacing w:line="360" w:lineRule="auto"/>
        <w:ind w:firstLine="600" w:firstLineChars="200"/>
        <w:rPr>
          <w:rFonts w:hint="eastAsia" w:ascii="宋体" w:hAnsi="宋体"/>
          <w:sz w:val="30"/>
          <w:highlight w:val="none"/>
        </w:rPr>
      </w:pPr>
    </w:p>
    <w:p w14:paraId="5673F462">
      <w:pPr>
        <w:spacing w:line="360" w:lineRule="auto"/>
        <w:ind w:firstLine="64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兹证明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同志，为我单位的法定代表人，身份证号码为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sz w:val="24"/>
          <w:highlight w:val="none"/>
        </w:rPr>
        <w:t>。</w:t>
      </w:r>
    </w:p>
    <w:p w14:paraId="696395C5">
      <w:pPr>
        <w:spacing w:line="360" w:lineRule="auto"/>
        <w:ind w:firstLine="480"/>
        <w:rPr>
          <w:rFonts w:hint="eastAsia" w:ascii="宋体" w:hAnsi="宋体"/>
          <w:sz w:val="24"/>
          <w:highlight w:val="none"/>
        </w:rPr>
      </w:pPr>
    </w:p>
    <w:p w14:paraId="202C8A8E">
      <w:pPr>
        <w:spacing w:line="360" w:lineRule="auto"/>
        <w:ind w:firstLine="5440" w:firstLineChars="17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供应商：（公章）</w:t>
      </w:r>
    </w:p>
    <w:p w14:paraId="25C0A183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               </w:t>
      </w:r>
    </w:p>
    <w:p w14:paraId="5D909B41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3C73EAD2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  <w:highlight w:val="none"/>
        </w:rPr>
      </w:pPr>
    </w:p>
    <w:p w14:paraId="29411E27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  <w:highlight w:val="none"/>
        </w:rPr>
      </w:pPr>
    </w:p>
    <w:tbl>
      <w:tblPr>
        <w:tblStyle w:val="18"/>
        <w:tblpPr w:leftFromText="180" w:rightFromText="180" w:vertAnchor="text" w:horzAnchor="margin" w:tblpY="31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3198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9380" w:type="dxa"/>
            <w:vAlign w:val="center"/>
          </w:tcPr>
          <w:p w14:paraId="277CDE6E">
            <w:pPr>
              <w:tabs>
                <w:tab w:val="left" w:pos="5000"/>
              </w:tabs>
              <w:spacing w:line="360" w:lineRule="auto"/>
              <w:ind w:left="420" w:leftChars="200" w:firstLine="2520" w:firstLineChars="105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法定代表人身份证</w:t>
            </w:r>
          </w:p>
          <w:p w14:paraId="4FBFE41F">
            <w:pPr>
              <w:tabs>
                <w:tab w:val="left" w:pos="5000"/>
              </w:tabs>
              <w:spacing w:line="360" w:lineRule="auto"/>
              <w:ind w:left="420" w:leftChars="200" w:firstLine="720" w:firstLineChars="3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新版身份证，必须提供正面、背面双面身份证复印件</w:t>
            </w:r>
          </w:p>
          <w:p w14:paraId="02152869">
            <w:pPr>
              <w:tabs>
                <w:tab w:val="left" w:pos="5000"/>
              </w:tabs>
              <w:spacing w:line="360" w:lineRule="auto"/>
              <w:ind w:firstLine="48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6FFC6912">
      <w:pPr>
        <w:ind w:firstLine="64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03F51DD1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br w:type="page"/>
      </w:r>
    </w:p>
    <w:p w14:paraId="12A96298">
      <w:pPr>
        <w:adjustRightInd w:val="0"/>
        <w:snapToGrid w:val="0"/>
        <w:spacing w:line="579" w:lineRule="exact"/>
        <w:jc w:val="center"/>
        <w:rPr>
          <w:rFonts w:ascii="黑体" w:eastAsia="黑体"/>
          <w:sz w:val="36"/>
          <w:szCs w:val="36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法定代表人授权书</w:t>
      </w:r>
    </w:p>
    <w:p w14:paraId="385E1552">
      <w:pPr>
        <w:spacing w:line="360" w:lineRule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72F1999B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山东城市服务职业学院：</w:t>
      </w:r>
    </w:p>
    <w:p w14:paraId="04F653E1"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宋体" w:hAnsi="宋体"/>
          <w:sz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</w:rPr>
        <w:t>（供应商名称）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法定代表人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授权我单位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</w:t>
      </w:r>
    </w:p>
    <w:p w14:paraId="1341D114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（授权代表姓名、身份证号码）为授权代表，参加贵单位组织的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项目采购活动，全权处理采购活动中的一切事宜。授权代表无转委托权。</w:t>
      </w:r>
    </w:p>
    <w:p w14:paraId="3091398A">
      <w:pPr>
        <w:spacing w:line="360" w:lineRule="auto"/>
        <w:ind w:firstLine="643" w:firstLineChars="200"/>
        <w:rPr>
          <w:rFonts w:hint="default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  <w:t>授权代表需为公司员工并在该公司缴纳社保，需附该授权代表在该公司参保的证明材料(六个月内任意一个月社会保险的缴费证明，需体现人员明细)。</w:t>
      </w:r>
    </w:p>
    <w:p w14:paraId="7B23DE0E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088B0B5E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法定代表人（签章）：</w:t>
      </w:r>
    </w:p>
    <w:p w14:paraId="1F5DC0D9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供应商名称（公章）：</w:t>
      </w:r>
    </w:p>
    <w:p w14:paraId="5A6E5CF0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        日期：   年   月    日</w:t>
      </w:r>
    </w:p>
    <w:p w14:paraId="5870F99F">
      <w:pPr>
        <w:tabs>
          <w:tab w:val="left" w:pos="5000"/>
        </w:tabs>
        <w:spacing w:line="360" w:lineRule="auto"/>
        <w:jc w:val="both"/>
        <w:rPr>
          <w:rFonts w:hint="eastAsia" w:ascii="宋体" w:hAnsi="宋体"/>
          <w:b/>
          <w:bCs/>
          <w:sz w:val="24"/>
          <w:highlight w:val="none"/>
        </w:rPr>
      </w:pPr>
    </w:p>
    <w:tbl>
      <w:tblPr>
        <w:tblStyle w:val="18"/>
        <w:tblpPr w:leftFromText="180" w:rightFromText="180" w:vertAnchor="text" w:horzAnchor="margin" w:tblpY="31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297A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9380" w:type="dxa"/>
            <w:vAlign w:val="center"/>
          </w:tcPr>
          <w:p w14:paraId="2B5EE216">
            <w:pPr>
              <w:tabs>
                <w:tab w:val="left" w:pos="5000"/>
              </w:tabs>
              <w:spacing w:line="360" w:lineRule="auto"/>
              <w:ind w:left="420" w:leftChars="200" w:firstLine="2520" w:firstLineChars="105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授权代表身份证</w:t>
            </w:r>
          </w:p>
          <w:p w14:paraId="11A066AD">
            <w:pPr>
              <w:tabs>
                <w:tab w:val="left" w:pos="5000"/>
              </w:tabs>
              <w:spacing w:line="360" w:lineRule="auto"/>
              <w:ind w:left="420" w:leftChars="200" w:firstLine="720" w:firstLineChars="3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新版身份证，必须提供正面、背面双面身份证复印件</w:t>
            </w:r>
          </w:p>
          <w:p w14:paraId="2CA53B73">
            <w:pPr>
              <w:tabs>
                <w:tab w:val="left" w:pos="5000"/>
              </w:tabs>
              <w:spacing w:line="360" w:lineRule="auto"/>
              <w:ind w:firstLine="48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09F05846">
      <w:pPr>
        <w:adjustRightInd w:val="0"/>
        <w:snapToGrid w:val="0"/>
        <w:spacing w:line="312" w:lineRule="auto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39AC71-5024-4612-9F87-A077C33F0B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F692493-9800-4446-9B36-0DC1044FF73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820B088-262A-4109-9B67-2557157D5A5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5F89EC8-E088-4121-B88A-8FD71CADD8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FD22D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9591347">
    <w:pPr>
      <w:pStyle w:val="10"/>
      <w:tabs>
        <w:tab w:val="center" w:pos="4547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4OGYwN2NmNWZjZTE0YWY1NDU2NGJmMDE0NWM1NGYifQ=="/>
  </w:docVars>
  <w:rsids>
    <w:rsidRoot w:val="00B8598A"/>
    <w:rsid w:val="00037D51"/>
    <w:rsid w:val="00062150"/>
    <w:rsid w:val="00112606"/>
    <w:rsid w:val="00121454"/>
    <w:rsid w:val="00122E9B"/>
    <w:rsid w:val="0016294F"/>
    <w:rsid w:val="00177859"/>
    <w:rsid w:val="001A3C19"/>
    <w:rsid w:val="001C61D3"/>
    <w:rsid w:val="001F4E43"/>
    <w:rsid w:val="00205732"/>
    <w:rsid w:val="0024523C"/>
    <w:rsid w:val="003C4264"/>
    <w:rsid w:val="00416030"/>
    <w:rsid w:val="00447404"/>
    <w:rsid w:val="00462738"/>
    <w:rsid w:val="00474BE5"/>
    <w:rsid w:val="00581381"/>
    <w:rsid w:val="0058445B"/>
    <w:rsid w:val="00587B12"/>
    <w:rsid w:val="006069BA"/>
    <w:rsid w:val="00613F80"/>
    <w:rsid w:val="00636DA4"/>
    <w:rsid w:val="00644D79"/>
    <w:rsid w:val="0069446E"/>
    <w:rsid w:val="006A4E9C"/>
    <w:rsid w:val="00702EAB"/>
    <w:rsid w:val="00703416"/>
    <w:rsid w:val="007C5B67"/>
    <w:rsid w:val="008A53BC"/>
    <w:rsid w:val="008C4DFA"/>
    <w:rsid w:val="008D6214"/>
    <w:rsid w:val="00904D6D"/>
    <w:rsid w:val="009B2E72"/>
    <w:rsid w:val="009B3C32"/>
    <w:rsid w:val="009C6839"/>
    <w:rsid w:val="00A673B4"/>
    <w:rsid w:val="00A86CAC"/>
    <w:rsid w:val="00B03788"/>
    <w:rsid w:val="00B23A33"/>
    <w:rsid w:val="00B8598A"/>
    <w:rsid w:val="00BB7C0B"/>
    <w:rsid w:val="00C16EE6"/>
    <w:rsid w:val="00C465CC"/>
    <w:rsid w:val="00CA7AE2"/>
    <w:rsid w:val="00D008C1"/>
    <w:rsid w:val="00D176F7"/>
    <w:rsid w:val="00DA02AB"/>
    <w:rsid w:val="00DD1924"/>
    <w:rsid w:val="00F02458"/>
    <w:rsid w:val="00F03CD8"/>
    <w:rsid w:val="00F719FA"/>
    <w:rsid w:val="00F83E1B"/>
    <w:rsid w:val="01166FE6"/>
    <w:rsid w:val="01233A9E"/>
    <w:rsid w:val="01852063"/>
    <w:rsid w:val="01CF7782"/>
    <w:rsid w:val="022D6DD9"/>
    <w:rsid w:val="02F72AEC"/>
    <w:rsid w:val="03703B1F"/>
    <w:rsid w:val="046F4587"/>
    <w:rsid w:val="05195543"/>
    <w:rsid w:val="051A51B8"/>
    <w:rsid w:val="05D7579C"/>
    <w:rsid w:val="05E64439"/>
    <w:rsid w:val="06D0507E"/>
    <w:rsid w:val="06FD2896"/>
    <w:rsid w:val="079D48F6"/>
    <w:rsid w:val="080F08D8"/>
    <w:rsid w:val="08113D1D"/>
    <w:rsid w:val="08CC3E0A"/>
    <w:rsid w:val="091A12E3"/>
    <w:rsid w:val="091D0DD3"/>
    <w:rsid w:val="09ED4C49"/>
    <w:rsid w:val="0B277D11"/>
    <w:rsid w:val="0B6B22C9"/>
    <w:rsid w:val="0B79474A"/>
    <w:rsid w:val="0BF73B5D"/>
    <w:rsid w:val="0C127D8D"/>
    <w:rsid w:val="0CB60CAE"/>
    <w:rsid w:val="0CC93CD1"/>
    <w:rsid w:val="0D060633"/>
    <w:rsid w:val="0D304EE6"/>
    <w:rsid w:val="0D423C21"/>
    <w:rsid w:val="0D57752D"/>
    <w:rsid w:val="0D6202AC"/>
    <w:rsid w:val="0D815DD4"/>
    <w:rsid w:val="0DAD6BC9"/>
    <w:rsid w:val="0E044259"/>
    <w:rsid w:val="0E06452B"/>
    <w:rsid w:val="0E4C22AB"/>
    <w:rsid w:val="0EAC0C2F"/>
    <w:rsid w:val="0F3950A5"/>
    <w:rsid w:val="0FB304D1"/>
    <w:rsid w:val="10094278"/>
    <w:rsid w:val="10CD1887"/>
    <w:rsid w:val="10E94F32"/>
    <w:rsid w:val="11027767"/>
    <w:rsid w:val="11681A01"/>
    <w:rsid w:val="11692E07"/>
    <w:rsid w:val="11C965BF"/>
    <w:rsid w:val="125F0104"/>
    <w:rsid w:val="13B16CE7"/>
    <w:rsid w:val="14195C65"/>
    <w:rsid w:val="145F42FA"/>
    <w:rsid w:val="147B70C9"/>
    <w:rsid w:val="14935FC6"/>
    <w:rsid w:val="15032F06"/>
    <w:rsid w:val="153F62C9"/>
    <w:rsid w:val="15A44D56"/>
    <w:rsid w:val="16027CCE"/>
    <w:rsid w:val="17200D7B"/>
    <w:rsid w:val="17F30142"/>
    <w:rsid w:val="189605A6"/>
    <w:rsid w:val="193F2C5A"/>
    <w:rsid w:val="1A106FA5"/>
    <w:rsid w:val="1AA90718"/>
    <w:rsid w:val="1B03607B"/>
    <w:rsid w:val="1B0911B7"/>
    <w:rsid w:val="1B4B48F2"/>
    <w:rsid w:val="1C3D3ED8"/>
    <w:rsid w:val="1D3F35B6"/>
    <w:rsid w:val="1D5E7905"/>
    <w:rsid w:val="1D8F4C97"/>
    <w:rsid w:val="1DFB34B4"/>
    <w:rsid w:val="1E8000F1"/>
    <w:rsid w:val="1EA72C3C"/>
    <w:rsid w:val="1EF614DB"/>
    <w:rsid w:val="1F2F2768"/>
    <w:rsid w:val="1F455F0E"/>
    <w:rsid w:val="208465D8"/>
    <w:rsid w:val="209E0DEE"/>
    <w:rsid w:val="20C3321F"/>
    <w:rsid w:val="21B80854"/>
    <w:rsid w:val="21B90E78"/>
    <w:rsid w:val="222F59A7"/>
    <w:rsid w:val="22982642"/>
    <w:rsid w:val="22C30BE6"/>
    <w:rsid w:val="23BE2A01"/>
    <w:rsid w:val="23BF71FF"/>
    <w:rsid w:val="24283596"/>
    <w:rsid w:val="2443573A"/>
    <w:rsid w:val="24E84B0A"/>
    <w:rsid w:val="25EB348C"/>
    <w:rsid w:val="26AD44F1"/>
    <w:rsid w:val="270A4224"/>
    <w:rsid w:val="27B20949"/>
    <w:rsid w:val="27FB62BC"/>
    <w:rsid w:val="28DD2273"/>
    <w:rsid w:val="29342F34"/>
    <w:rsid w:val="298412AF"/>
    <w:rsid w:val="29B13146"/>
    <w:rsid w:val="2A7D244B"/>
    <w:rsid w:val="2AE61515"/>
    <w:rsid w:val="2AF913FB"/>
    <w:rsid w:val="2B8D5D2A"/>
    <w:rsid w:val="2BDD3EB9"/>
    <w:rsid w:val="2C137E41"/>
    <w:rsid w:val="2C1B47E9"/>
    <w:rsid w:val="2CC441CC"/>
    <w:rsid w:val="2D5C786C"/>
    <w:rsid w:val="2D714B70"/>
    <w:rsid w:val="2DDC694B"/>
    <w:rsid w:val="2E075A2A"/>
    <w:rsid w:val="2E2446A0"/>
    <w:rsid w:val="2F0239FE"/>
    <w:rsid w:val="316E6365"/>
    <w:rsid w:val="32B5664A"/>
    <w:rsid w:val="33520DF0"/>
    <w:rsid w:val="335C6885"/>
    <w:rsid w:val="3457664B"/>
    <w:rsid w:val="36317A48"/>
    <w:rsid w:val="366D52F7"/>
    <w:rsid w:val="36AA6511"/>
    <w:rsid w:val="36F15A6F"/>
    <w:rsid w:val="37357CCA"/>
    <w:rsid w:val="377432D3"/>
    <w:rsid w:val="37C861D9"/>
    <w:rsid w:val="39264DF0"/>
    <w:rsid w:val="3950579F"/>
    <w:rsid w:val="397A17A6"/>
    <w:rsid w:val="3AE92764"/>
    <w:rsid w:val="3AFD61EB"/>
    <w:rsid w:val="3C266383"/>
    <w:rsid w:val="3CA803D8"/>
    <w:rsid w:val="3CD85F7F"/>
    <w:rsid w:val="3D433934"/>
    <w:rsid w:val="3DB01192"/>
    <w:rsid w:val="3DB850D0"/>
    <w:rsid w:val="3E47606A"/>
    <w:rsid w:val="3E502AD5"/>
    <w:rsid w:val="3F2662DB"/>
    <w:rsid w:val="3FE7577B"/>
    <w:rsid w:val="3FF37812"/>
    <w:rsid w:val="3FFD6C8D"/>
    <w:rsid w:val="40520D87"/>
    <w:rsid w:val="4120324D"/>
    <w:rsid w:val="415011C2"/>
    <w:rsid w:val="416D399E"/>
    <w:rsid w:val="41C55C07"/>
    <w:rsid w:val="41D9671B"/>
    <w:rsid w:val="425F1B51"/>
    <w:rsid w:val="42C42CE4"/>
    <w:rsid w:val="42DE74DA"/>
    <w:rsid w:val="42F64DCA"/>
    <w:rsid w:val="445D43DB"/>
    <w:rsid w:val="44B92072"/>
    <w:rsid w:val="45BB03D5"/>
    <w:rsid w:val="46190D48"/>
    <w:rsid w:val="465D5881"/>
    <w:rsid w:val="46E57333"/>
    <w:rsid w:val="47DA651D"/>
    <w:rsid w:val="48B03D81"/>
    <w:rsid w:val="48FF25D1"/>
    <w:rsid w:val="49531B59"/>
    <w:rsid w:val="497D499A"/>
    <w:rsid w:val="4B4E2A92"/>
    <w:rsid w:val="4BDA60D4"/>
    <w:rsid w:val="4BDE4EA5"/>
    <w:rsid w:val="4BFB17A1"/>
    <w:rsid w:val="4D0347BD"/>
    <w:rsid w:val="4EBC40BC"/>
    <w:rsid w:val="4FDB5D82"/>
    <w:rsid w:val="50C40A72"/>
    <w:rsid w:val="50C866AA"/>
    <w:rsid w:val="512C5E3D"/>
    <w:rsid w:val="51674384"/>
    <w:rsid w:val="52CB56EE"/>
    <w:rsid w:val="532A086D"/>
    <w:rsid w:val="539909DF"/>
    <w:rsid w:val="53CC27A6"/>
    <w:rsid w:val="53D42103"/>
    <w:rsid w:val="54406A6A"/>
    <w:rsid w:val="54DA28DC"/>
    <w:rsid w:val="55EB1D4E"/>
    <w:rsid w:val="567857B9"/>
    <w:rsid w:val="573E3592"/>
    <w:rsid w:val="57A04676"/>
    <w:rsid w:val="57CE1F95"/>
    <w:rsid w:val="58120A0F"/>
    <w:rsid w:val="5823689E"/>
    <w:rsid w:val="58BD0D60"/>
    <w:rsid w:val="58D42829"/>
    <w:rsid w:val="592E1EB3"/>
    <w:rsid w:val="5937343D"/>
    <w:rsid w:val="599E7D41"/>
    <w:rsid w:val="59D05A7A"/>
    <w:rsid w:val="5A1C60DC"/>
    <w:rsid w:val="5A345068"/>
    <w:rsid w:val="5B3D26BF"/>
    <w:rsid w:val="5BC96904"/>
    <w:rsid w:val="5BCC6A5E"/>
    <w:rsid w:val="5BDC37A3"/>
    <w:rsid w:val="5C1075E8"/>
    <w:rsid w:val="5C560AA1"/>
    <w:rsid w:val="5C9A2217"/>
    <w:rsid w:val="5CFF1951"/>
    <w:rsid w:val="5DFF1020"/>
    <w:rsid w:val="5E05081A"/>
    <w:rsid w:val="5E741C8C"/>
    <w:rsid w:val="5E7E4EC5"/>
    <w:rsid w:val="5EA92139"/>
    <w:rsid w:val="5F573903"/>
    <w:rsid w:val="5F837C91"/>
    <w:rsid w:val="5FA62A45"/>
    <w:rsid w:val="5FA82CED"/>
    <w:rsid w:val="5FC01AAC"/>
    <w:rsid w:val="60C03693"/>
    <w:rsid w:val="613E2F29"/>
    <w:rsid w:val="616E578F"/>
    <w:rsid w:val="622E5C0C"/>
    <w:rsid w:val="63774944"/>
    <w:rsid w:val="644F2874"/>
    <w:rsid w:val="650A312E"/>
    <w:rsid w:val="65820E39"/>
    <w:rsid w:val="6597408E"/>
    <w:rsid w:val="65AA11A0"/>
    <w:rsid w:val="65E5371C"/>
    <w:rsid w:val="673D4944"/>
    <w:rsid w:val="68182006"/>
    <w:rsid w:val="68317D8A"/>
    <w:rsid w:val="685272C6"/>
    <w:rsid w:val="68B03FED"/>
    <w:rsid w:val="69076303"/>
    <w:rsid w:val="6933534A"/>
    <w:rsid w:val="69B61AD7"/>
    <w:rsid w:val="69E64183"/>
    <w:rsid w:val="69F05638"/>
    <w:rsid w:val="6B6735E6"/>
    <w:rsid w:val="6BBF2EC5"/>
    <w:rsid w:val="6D994E55"/>
    <w:rsid w:val="6EB406DC"/>
    <w:rsid w:val="6F387E46"/>
    <w:rsid w:val="6F7A7103"/>
    <w:rsid w:val="7017647D"/>
    <w:rsid w:val="70B75FBE"/>
    <w:rsid w:val="71066EA0"/>
    <w:rsid w:val="717573DC"/>
    <w:rsid w:val="721A5B23"/>
    <w:rsid w:val="72B25EF2"/>
    <w:rsid w:val="72B4110E"/>
    <w:rsid w:val="743B061C"/>
    <w:rsid w:val="749063A1"/>
    <w:rsid w:val="74E36253"/>
    <w:rsid w:val="75591B14"/>
    <w:rsid w:val="756248C1"/>
    <w:rsid w:val="757E5AF3"/>
    <w:rsid w:val="75EB2B08"/>
    <w:rsid w:val="76073C0E"/>
    <w:rsid w:val="76226A73"/>
    <w:rsid w:val="769E6263"/>
    <w:rsid w:val="772C7A34"/>
    <w:rsid w:val="774536CC"/>
    <w:rsid w:val="77476464"/>
    <w:rsid w:val="779A60BA"/>
    <w:rsid w:val="787362B9"/>
    <w:rsid w:val="789D25DD"/>
    <w:rsid w:val="791D5A43"/>
    <w:rsid w:val="79813654"/>
    <w:rsid w:val="79976771"/>
    <w:rsid w:val="7A49604F"/>
    <w:rsid w:val="7B6C2C49"/>
    <w:rsid w:val="7BAB01C1"/>
    <w:rsid w:val="7DA77C5D"/>
    <w:rsid w:val="7E467CE8"/>
    <w:rsid w:val="7EA63720"/>
    <w:rsid w:val="7F9075B3"/>
    <w:rsid w:val="7FA91A6A"/>
    <w:rsid w:val="7FB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outlineLvl w:val="0"/>
    </w:pPr>
    <w:rPr>
      <w:rFonts w:ascii="仿宋_GB2312" w:hAnsi="宋体" w:eastAsia="仿宋_GB2312"/>
      <w:sz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Cambria" w:hAnsi="Cambria"/>
      <w:b/>
      <w:bCs/>
      <w:sz w:val="24"/>
      <w:szCs w:val="32"/>
    </w:rPr>
  </w:style>
  <w:style w:type="paragraph" w:styleId="4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toc 3"/>
    <w:basedOn w:val="1"/>
    <w:next w:val="1"/>
    <w:qFormat/>
    <w:uiPriority w:val="39"/>
    <w:pPr>
      <w:ind w:left="420"/>
      <w:jc w:val="left"/>
    </w:pPr>
    <w:rPr>
      <w:rFonts w:ascii="Calibri" w:hAnsi="Calibri"/>
      <w:i/>
      <w:iCs/>
      <w:sz w:val="20"/>
    </w:rPr>
  </w:style>
  <w:style w:type="paragraph" w:styleId="9">
    <w:name w:val="Plain Text"/>
    <w:basedOn w:val="1"/>
    <w:autoRedefine/>
    <w:qFormat/>
    <w:uiPriority w:val="0"/>
    <w:rPr>
      <w:rFonts w:ascii="宋体" w:hAnsi="Courier New"/>
      <w:sz w:val="24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qFormat/>
    <w:uiPriority w:val="0"/>
    <w:pPr>
      <w:spacing w:line="380" w:lineRule="exact"/>
      <w:jc w:val="distribute"/>
    </w:pPr>
    <w:rPr>
      <w:rFonts w:eastAsia="黑体"/>
    </w:rPr>
  </w:style>
  <w:style w:type="paragraph" w:styleId="13">
    <w:name w:val="Body Text 2"/>
    <w:basedOn w:val="1"/>
    <w:next w:val="1"/>
    <w:autoRedefine/>
    <w:qFormat/>
    <w:uiPriority w:val="0"/>
    <w:rPr>
      <w:sz w:val="28"/>
    </w:rPr>
  </w:style>
  <w:style w:type="paragraph" w:styleId="14">
    <w:name w:val="Message Header"/>
    <w:basedOn w:val="1"/>
    <w:next w:val="1"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15">
    <w:name w:val="HTML Preformatted"/>
    <w:basedOn w:val="1"/>
    <w:next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7">
    <w:name w:val="Body Text First Indent"/>
    <w:basedOn w:val="7"/>
    <w:qFormat/>
    <w:uiPriority w:val="0"/>
    <w:pPr>
      <w:ind w:firstLine="200" w:firstLineChars="200"/>
    </w:pPr>
    <w:rPr>
      <w:rFonts w:ascii="宋体" w:hAnsi="宋体"/>
    </w:rPr>
  </w:style>
  <w:style w:type="table" w:styleId="19">
    <w:name w:val="Table Grid"/>
    <w:basedOn w:val="1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标4"/>
    <w:basedOn w:val="22"/>
    <w:next w:val="1"/>
    <w:autoRedefine/>
    <w:qFormat/>
    <w:uiPriority w:val="99"/>
    <w:pPr>
      <w:spacing w:before="240"/>
      <w:outlineLvl w:val="3"/>
    </w:pPr>
    <w:rPr>
      <w:rFonts w:cs="Arial"/>
    </w:rPr>
  </w:style>
  <w:style w:type="paragraph" w:customStyle="1" w:styleId="22">
    <w:name w:val="标3"/>
    <w:basedOn w:val="1"/>
    <w:autoRedefine/>
    <w:qFormat/>
    <w:uiPriority w:val="99"/>
    <w:pPr>
      <w:adjustRightInd w:val="0"/>
      <w:spacing w:before="360" w:after="360" w:line="240" w:lineRule="exact"/>
      <w:jc w:val="left"/>
      <w:outlineLvl w:val="2"/>
    </w:pPr>
    <w:rPr>
      <w:rFonts w:ascii="Arial" w:hAnsi="Arial"/>
      <w:b/>
      <w:bCs/>
      <w:kern w:val="24"/>
    </w:rPr>
  </w:style>
  <w:style w:type="paragraph" w:customStyle="1" w:styleId="23">
    <w:name w:val="商院正文"/>
    <w:basedOn w:val="1"/>
    <w:autoRedefine/>
    <w:qFormat/>
    <w:uiPriority w:val="0"/>
    <w:pPr>
      <w:spacing w:line="560" w:lineRule="exact"/>
      <w:ind w:firstLine="200" w:firstLineChars="200"/>
    </w:pPr>
    <w:rPr>
      <w:rFonts w:ascii="仿宋" w:hAnsi="仿宋" w:eastAsia="仿宋"/>
      <w:sz w:val="32"/>
      <w:szCs w:val="32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5">
    <w:name w:val="正文样式"/>
    <w:qFormat/>
    <w:uiPriority w:val="0"/>
    <w:pPr>
      <w:widowControl w:val="0"/>
      <w:ind w:firstLine="420"/>
      <w:jc w:val="both"/>
    </w:pPr>
    <w:rPr>
      <w:rFonts w:hint="eastAsia" w:ascii="Times New Roman" w:hAnsi="Times New Roman" w:eastAsia="仿宋" w:cs="Times New Roman"/>
      <w:kern w:val="2"/>
      <w:sz w:val="24"/>
      <w:szCs w:val="24"/>
      <w:lang w:val="en-US" w:eastAsia="zh-Hans" w:bidi="ar-SA"/>
    </w:rPr>
  </w:style>
  <w:style w:type="paragraph" w:customStyle="1" w:styleId="26">
    <w:name w:val="正文文本缩进1"/>
    <w:autoRedefine/>
    <w:qFormat/>
    <w:uiPriority w:val="0"/>
    <w:pPr>
      <w:widowControl w:val="0"/>
      <w:spacing w:line="360" w:lineRule="auto"/>
      <w:ind w:left="420" w:firstLine="420"/>
      <w:jc w:val="both"/>
    </w:pPr>
    <w:rPr>
      <w:rFonts w:ascii="Calibri" w:hAnsi="Calibri" w:eastAsia="宋体" w:cs="黑体"/>
      <w:bCs/>
      <w:kern w:val="2"/>
      <w:sz w:val="28"/>
      <w:szCs w:val="24"/>
      <w:lang w:val="en-US" w:eastAsia="zh-CN" w:bidi="ar-SA"/>
    </w:r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1749</Words>
  <Characters>1847</Characters>
  <Lines>119</Lines>
  <Paragraphs>98</Paragraphs>
  <TotalTime>3</TotalTime>
  <ScaleCrop>false</ScaleCrop>
  <LinksUpToDate>false</LinksUpToDate>
  <CharactersWithSpaces>1911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2025-07-06T00:39:00Z</dcterms:created>
  <dc:creator>Administrator</dc:creator>
  <cp:lastModifiedBy>果小糖</cp:lastModifiedBy>
  <dcterms:modified xsi:type="dcterms:W3CDTF">2025-12-12T02:19:28Z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7E6AD9D0A12E4B2F851F41CB9FD113C5_13</vt:lpwstr>
  </property>
  <property fmtid="{D5CDD505-2E9C-101B-9397-08002B2CF9AE}" pid="4" name="KSOTemplateDocerSaveRecord">
    <vt:lpwstr>eyJoZGlkIjoiMzEwNTM5NzYwMDRjMzkwZTVkZjY2ODkwMGIxNGU0OTUiLCJ1c2VySWQiOiIyNTk5Mjg3MjUifQ==</vt:lpwstr>
  </property>
</Properties>
</file>