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仿宋_GB2312"/>
          <w:b w:val="0"/>
          <w:bCs w:val="0"/>
          <w:sz w:val="44"/>
          <w:szCs w:val="44"/>
          <w:highlight w:val="none"/>
        </w:rPr>
        <w:t>财务软件维保项目</w:t>
      </w:r>
      <w:r>
        <w:rPr>
          <w:rFonts w:hint="eastAsia" w:ascii="方正小标宋_GBK" w:hAnsi="方正小标宋_GBK" w:eastAsia="方正小标宋_GBK" w:cs="方正小标宋_GBK"/>
          <w:b w:val="0"/>
          <w:bCs w:val="0"/>
          <w:sz w:val="44"/>
          <w:szCs w:val="44"/>
          <w:highlight w:val="none"/>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山东城市服务职业学院财务软件维保项目询价公告，具体要求详见附件。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highlight w:val="none"/>
        </w:rPr>
      </w:pPr>
      <w:r>
        <w:rPr>
          <w:rFonts w:ascii="黑体" w:hAnsi="黑体" w:eastAsia="黑体" w:cs="黑体"/>
          <w:b w:val="0"/>
          <w:sz w:val="32"/>
          <w:szCs w:val="32"/>
          <w:highlight w:val="none"/>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（5）无不良信用信息记录（</w:t>
      </w:r>
      <w:r>
        <w:rPr>
          <w:rFonts w:hint="eastAsia" w:ascii="仿宋" w:hAnsi="仿宋" w:eastAsia="仿宋" w:cs="仿宋"/>
          <w:sz w:val="32"/>
          <w:szCs w:val="32"/>
          <w:highlight w:val="none"/>
        </w:rPr>
        <w:t>供应商自拟格式承诺</w:t>
      </w:r>
      <w:r>
        <w:rPr>
          <w:rFonts w:hint="eastAsia" w:ascii="仿宋" w:hAnsi="仿宋" w:eastAsia="仿宋" w:cs="仿宋"/>
          <w:sz w:val="32"/>
          <w:szCs w:val="32"/>
          <w:highlight w:val="none"/>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2025年</w:t>
      </w:r>
      <w:r>
        <w:rPr>
          <w:rFonts w:hint="eastAsia" w:ascii="仿宋_GB2312" w:hAnsi="仿宋_GB2312" w:eastAsia="仿宋_GB2312" w:cs="仿宋_GB2312"/>
          <w:kern w:val="0"/>
          <w:sz w:val="32"/>
          <w:szCs w:val="32"/>
          <w:highlight w:val="none"/>
          <w:shd w:val="clear" w:color="auto" w:fill="FFFFFF"/>
          <w:lang w:val="en-US" w:eastAsia="zh-CN"/>
        </w:rPr>
        <w:t>11</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24</w:t>
      </w:r>
      <w:r>
        <w:rPr>
          <w:rFonts w:hint="eastAsia" w:ascii="仿宋_GB2312" w:hAnsi="仿宋_GB2312" w:eastAsia="仿宋_GB2312" w:cs="仿宋_GB2312"/>
          <w:kern w:val="0"/>
          <w:sz w:val="32"/>
          <w:szCs w:val="32"/>
          <w:highlight w:val="none"/>
          <w:shd w:val="clear" w:color="auto" w:fill="FFFFFF"/>
        </w:rPr>
        <w:t>日</w:t>
      </w:r>
      <w:r>
        <w:rPr>
          <w:rFonts w:hint="eastAsia" w:ascii="仿宋_GB2312" w:hAnsi="仿宋_GB2312" w:eastAsia="仿宋_GB2312" w:cs="仿宋_GB2312"/>
          <w:kern w:val="0"/>
          <w:sz w:val="32"/>
          <w:szCs w:val="32"/>
          <w:highlight w:val="none"/>
          <w:shd w:val="clear" w:color="auto" w:fill="FFFFFF"/>
          <w:lang w:val="en-US" w:eastAsia="zh-CN"/>
        </w:rPr>
        <w:t>14</w:t>
      </w:r>
      <w:r>
        <w:rPr>
          <w:rFonts w:hint="eastAsia" w:ascii="仿宋_GB2312" w:hAnsi="仿宋_GB2312" w:eastAsia="仿宋_GB2312" w:cs="仿宋_GB2312"/>
          <w:kern w:val="0"/>
          <w:sz w:val="32"/>
          <w:szCs w:val="32"/>
          <w:highlight w:val="none"/>
          <w:shd w:val="clear" w:color="auto" w:fill="FFFFFF"/>
        </w:rPr>
        <w:t>时00分—</w:t>
      </w:r>
      <w:r>
        <w:rPr>
          <w:rFonts w:hint="eastAsia" w:ascii="仿宋_GB2312" w:hAnsi="仿宋_GB2312" w:eastAsia="仿宋_GB2312" w:cs="仿宋_GB2312"/>
          <w:kern w:val="0"/>
          <w:sz w:val="32"/>
          <w:szCs w:val="32"/>
          <w:highlight w:val="none"/>
          <w:shd w:val="clear" w:color="auto" w:fill="FFFFFF"/>
          <w:lang w:val="en-US" w:eastAsia="zh-CN"/>
        </w:rPr>
        <w:t>14</w:t>
      </w:r>
      <w:r>
        <w:rPr>
          <w:rFonts w:hint="eastAsia" w:ascii="仿宋_GB2312" w:hAnsi="仿宋_GB2312" w:eastAsia="仿宋_GB2312" w:cs="仿宋_GB2312"/>
          <w:kern w:val="0"/>
          <w:sz w:val="32"/>
          <w:szCs w:val="32"/>
          <w:highlight w:val="none"/>
          <w:shd w:val="clear" w:color="auto" w:fill="FFFFFF"/>
        </w:rPr>
        <w:t>时30分，到山东城市服务职业学院（山东省烟台市高新区科创西路60号）图信楼</w:t>
      </w:r>
      <w:r>
        <w:rPr>
          <w:rFonts w:hint="eastAsia" w:ascii="仿宋_GB2312" w:hAnsi="仿宋_GB2312" w:eastAsia="仿宋_GB2312" w:cs="仿宋_GB2312"/>
          <w:kern w:val="0"/>
          <w:sz w:val="32"/>
          <w:szCs w:val="32"/>
          <w:highlight w:val="none"/>
          <w:shd w:val="clear" w:color="auto" w:fill="FFFFFF"/>
          <w:lang w:val="en-US" w:eastAsia="zh-CN"/>
        </w:rPr>
        <w:t>619</w:t>
      </w:r>
      <w:r>
        <w:rPr>
          <w:rFonts w:hint="eastAsia" w:ascii="仿宋_GB2312" w:hAnsi="仿宋_GB2312" w:eastAsia="仿宋_GB2312" w:cs="仿宋_GB2312"/>
          <w:kern w:val="0"/>
          <w:sz w:val="32"/>
          <w:szCs w:val="32"/>
          <w:highlight w:val="none"/>
          <w:shd w:val="clear" w:color="auto" w:fill="FFFFFF"/>
        </w:rPr>
        <w:t>提交报价文件。联系人和联系电话：</w:t>
      </w:r>
      <w:r>
        <w:rPr>
          <w:rFonts w:hint="eastAsia" w:ascii="仿宋_GB2312" w:hAnsi="仿宋_GB2312" w:eastAsia="仿宋_GB2312" w:cs="仿宋_GB2312"/>
          <w:kern w:val="0"/>
          <w:sz w:val="32"/>
          <w:szCs w:val="32"/>
          <w:highlight w:val="none"/>
          <w:shd w:val="clear" w:color="auto" w:fill="FFFFFF"/>
          <w:lang w:val="en-US" w:eastAsia="zh-CN"/>
        </w:rPr>
        <w:t>李</w:t>
      </w:r>
      <w:r>
        <w:rPr>
          <w:rFonts w:hint="eastAsia" w:ascii="仿宋_GB2312" w:hAnsi="仿宋_GB2312" w:eastAsia="仿宋_GB2312" w:cs="仿宋_GB2312"/>
          <w:kern w:val="0"/>
          <w:sz w:val="32"/>
          <w:szCs w:val="32"/>
          <w:highlight w:val="none"/>
          <w:shd w:val="clear" w:color="auto" w:fill="FFFFFF"/>
        </w:rPr>
        <w:t>老师，</w:t>
      </w:r>
      <w:r>
        <w:rPr>
          <w:rFonts w:hint="eastAsia" w:ascii="仿宋_GB2312" w:hAnsi="仿宋_GB2312" w:eastAsia="仿宋_GB2312" w:cs="仿宋_GB2312"/>
          <w:kern w:val="0"/>
          <w:sz w:val="32"/>
          <w:szCs w:val="32"/>
          <w:highlight w:val="none"/>
          <w:shd w:val="clear" w:color="auto" w:fill="FFFFFF"/>
          <w:lang w:val="en-US" w:eastAsia="zh-CN"/>
        </w:rPr>
        <w:t>0535-2938760</w:t>
      </w:r>
      <w:r>
        <w:rPr>
          <w:rFonts w:hint="eastAsia" w:ascii="仿宋_GB2312" w:hAnsi="仿宋_GB2312" w:eastAsia="仿宋_GB2312" w:cs="仿宋_GB2312"/>
          <w:kern w:val="0"/>
          <w:sz w:val="32"/>
          <w:szCs w:val="32"/>
          <w:highlight w:val="none"/>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范围，制定合理的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方案，确保</w:t>
      </w:r>
      <w:r>
        <w:rPr>
          <w:rFonts w:hint="eastAsia" w:ascii="仿宋_GB2312" w:hAnsi="仿宋_GB2312" w:eastAsia="仿宋_GB2312" w:cs="仿宋_GB2312"/>
          <w:color w:val="auto"/>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4.报价资料应符合完全响应山东城市服务职业学院财务软件维保项目所有要求，要求见附件，不完全响应视为无效报价。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1.控制价：本项目控制价为人民币</w:t>
      </w:r>
      <w:r>
        <w:rPr>
          <w:rFonts w:hint="eastAsia" w:ascii="仿宋_GB2312" w:hAnsi="仿宋_GB2312" w:eastAsia="仿宋_GB2312" w:cs="仿宋_GB2312"/>
          <w:kern w:val="0"/>
          <w:sz w:val="32"/>
          <w:szCs w:val="32"/>
          <w:highlight w:val="none"/>
          <w:shd w:val="clear" w:color="auto" w:fill="FFFFFF"/>
          <w:lang w:val="en-US" w:eastAsia="zh-CN"/>
        </w:rPr>
        <w:t>96000</w:t>
      </w:r>
      <w:r>
        <w:rPr>
          <w:rFonts w:hint="eastAsia" w:ascii="仿宋_GB2312" w:hAnsi="仿宋_GB2312" w:eastAsia="仿宋_GB2312" w:cs="仿宋_GB2312"/>
          <w:kern w:val="0"/>
          <w:sz w:val="32"/>
          <w:szCs w:val="32"/>
          <w:highlight w:val="none"/>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2.付款方式：本项目无预付款，合同签订后1个月内一次性支付合同价款的100%。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期限：自合同签订之日起两年。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附件：1.</w:t>
      </w:r>
      <w:r>
        <w:rPr>
          <w:rFonts w:hint="eastAsia" w:ascii="仿宋_GB2312" w:hAnsi="仿宋_GB2312" w:eastAsia="仿宋_GB2312" w:cs="仿宋_GB2312"/>
          <w:kern w:val="0"/>
          <w:sz w:val="32"/>
          <w:szCs w:val="32"/>
          <w:highlight w:val="none"/>
          <w:shd w:val="clear" w:color="auto" w:fill="FFFFFF"/>
          <w:lang w:val="en-US" w:eastAsia="zh-CN"/>
        </w:rPr>
        <w:t>服务内容</w:t>
      </w:r>
      <w:r>
        <w:rPr>
          <w:rFonts w:hint="eastAsia" w:ascii="仿宋_GB2312" w:hAnsi="仿宋_GB2312" w:eastAsia="仿宋_GB2312" w:cs="仿宋_GB2312"/>
          <w:kern w:val="0"/>
          <w:sz w:val="32"/>
          <w:szCs w:val="32"/>
          <w:highlight w:val="none"/>
          <w:shd w:val="clear" w:color="auto" w:fill="FFFFFF"/>
        </w:rPr>
        <w:t>及</w:t>
      </w:r>
      <w:r>
        <w:rPr>
          <w:rFonts w:hint="eastAsia" w:ascii="仿宋_GB2312" w:hAnsi="仿宋_GB2312" w:eastAsia="仿宋_GB2312" w:cs="仿宋_GB2312"/>
          <w:kern w:val="0"/>
          <w:sz w:val="32"/>
          <w:szCs w:val="32"/>
          <w:highlight w:val="none"/>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                                2025年</w:t>
      </w:r>
      <w:r>
        <w:rPr>
          <w:rFonts w:hint="eastAsia" w:ascii="仿宋_GB2312" w:hAnsi="仿宋_GB2312" w:eastAsia="仿宋_GB2312" w:cs="仿宋_GB2312"/>
          <w:kern w:val="0"/>
          <w:sz w:val="32"/>
          <w:szCs w:val="32"/>
          <w:highlight w:val="none"/>
          <w:shd w:val="clear" w:color="auto" w:fill="FFFFFF"/>
          <w:lang w:val="en-US" w:eastAsia="zh-CN"/>
        </w:rPr>
        <w:t>11</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18</w:t>
      </w:r>
      <w:bookmarkStart w:id="0" w:name="_GoBack"/>
      <w:bookmarkEnd w:id="0"/>
      <w:r>
        <w:rPr>
          <w:rFonts w:hint="eastAsia" w:ascii="仿宋_GB2312" w:hAnsi="仿宋_GB2312" w:eastAsia="仿宋_GB2312" w:cs="仿宋_GB2312"/>
          <w:kern w:val="0"/>
          <w:sz w:val="32"/>
          <w:szCs w:val="32"/>
          <w:highlight w:val="none"/>
          <w:shd w:val="clear" w:color="auto" w:fill="FFFFFF"/>
        </w:rPr>
        <w:t>日</w:t>
      </w:r>
    </w:p>
    <w:p w14:paraId="13EC7F4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附件1：服务内容及服务标准</w:t>
      </w:r>
    </w:p>
    <w:p w14:paraId="7E93DDE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为保障学院财务管理信息系统持续、安全、稳定、高效的运行，需制定科学、合理、切实可行的服务保障计划。针对学院的运维服务，</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需指定专门的运维人员，负责保障服务期内学院财务业务系统安全、稳定地运行。服务范围、时间及内容等相关要求如下：</w:t>
      </w:r>
    </w:p>
    <w:p w14:paraId="09B5ADC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服务范围</w:t>
      </w:r>
    </w:p>
    <w:p w14:paraId="19D7B6A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管理信息系统运维服务项目包括财务核算系统、费控管理系统（含接口）、预算管控系统（二开）、银企互联系统、报表管理系统（含接口）、预算执行监控系统（二开）、财务应用支撑平台运维服务（含接口）。财务系统相关服务器的运维。</w:t>
      </w:r>
    </w:p>
    <w:p w14:paraId="03861F7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服务时间</w:t>
      </w:r>
    </w:p>
    <w:p w14:paraId="07E308B5">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2026年1月1日至2027年12月31日共两年。</w:t>
      </w:r>
    </w:p>
    <w:p w14:paraId="4B7133E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需提供7×24小时的电话及远程服务支持，为学院提供常规的咨询服务，并通过电话或远程服务解决一般性的系统维护、配置问题。在接到问题反馈2小时内给予答复，电话及远程无法解决的情况下，提供上门服务。</w:t>
      </w:r>
    </w:p>
    <w:p w14:paraId="50E0F670">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服务内容</w:t>
      </w:r>
    </w:p>
    <w:p w14:paraId="615B1880">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1、财务管理信息系统软件运行故障解决</w:t>
      </w:r>
    </w:p>
    <w:p w14:paraId="7EC7E354">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（1）财务核算系统</w:t>
      </w:r>
    </w:p>
    <w:p w14:paraId="5568FEE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财务科目管理、辅助核算管理、打印格式管理、月末结转及年末结转相关凭证生成、各个查询功能的引导使用、往来账及现金流量相关维护、系统年结等，处理日常业务中发生的相关问题，切实保障财务核算系统正常运行。</w:t>
      </w:r>
    </w:p>
    <w:p w14:paraId="3806F73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（2）费控管理系统</w:t>
      </w:r>
    </w:p>
    <w:p w14:paraId="7E4623D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相关业务申请及报销单的表单管理，业务申请及报销单的流程管理，人员维护，相关业务查询功能引导使用，相关基础数据维护。保障报账系统与预算管控系统的二开接口正常运行，确保申请及报销预算控制相关数据的及时及准确的传输到预算管控系统中。保障费控系统与财务应用平台二开接口稳定运行，确保报账系统中相关单据可以推送至财务平台中，生成报销相关财务凭证。保障报账系统与银企互联系统的二开接口稳定运行，推送相关数据至银企互联平台。处理日常业务中发生的相关问题。</w:t>
      </w:r>
    </w:p>
    <w:p w14:paraId="63DAA1E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（3）预算管控系统（二开）</w:t>
      </w:r>
    </w:p>
    <w:p w14:paraId="5583472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管控系统作为费控系统与预算项目库管理系统的桥梁，需保障预算管控系统的正常运行，及时同步预算项目库管理系统中的项目及项目预算数据至费控系统中，并且实时有效的控制预算占用及执行数据，形成相关预算执行进度，并同步到预算项目库管理系统中，形成相关报表数据，预算管控系统与费控系统接口维护。处理日常业务中发生的相关问题。</w:t>
      </w:r>
    </w:p>
    <w:p w14:paraId="284CC01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（4）银企互联系统</w:t>
      </w:r>
    </w:p>
    <w:p w14:paraId="2372ED6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银企互联与费控管理系统的接口，保障费控管理系统相关支付数据安全稳定传输至银企互联平台，处理银企互联平台相关问题，保障银企互联平台与银行前置机能够安全稳定通信，确保银企互联系统安全稳定运行。</w:t>
      </w:r>
    </w:p>
    <w:p w14:paraId="0B0B671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（5）报表管理系统</w:t>
      </w:r>
    </w:p>
    <w:p w14:paraId="4F7E6D7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报表定义、函数引导输入、报表编制、报表审核、报表上报、报表下发、报表汇总、数据排序、数据透视、汇总分析等功能。通过定义报表，系统提供会计业务资产负债表、收入支出总表和各种常用预算执行报表。也可针对实际需求进行报表二次开发，以满足实际业务需求。</w:t>
      </w:r>
    </w:p>
    <w:p w14:paraId="403A4A1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（6）预算执行监控系统（二开）</w:t>
      </w:r>
    </w:p>
    <w:p w14:paraId="173948B9">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预算调整审批流程维护，预算调整申请维护，执行数归集、汇总等功能维护，预算执行查询等功能维护。</w:t>
      </w:r>
    </w:p>
    <w:p w14:paraId="0BA7980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执行监控对预算执行过程进行了全方位监控，包括事前、事中、事后监控。推动预算管理从偏重事后检查、外部监督为特征的检查型，向事前事中事后一体、内外并重为特征的管理型转变，保障预算资金的安全、规范、有效使用。</w:t>
      </w:r>
    </w:p>
    <w:p w14:paraId="3781296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预算执行情况查询：通过建立预算收支旬报、月报、季报、年报等报表，定期分析预算执行情况。</w:t>
      </w:r>
    </w:p>
    <w:p w14:paraId="711F1A5A">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（7）财务应用支撑平台</w:t>
      </w:r>
    </w:p>
    <w:p w14:paraId="5142F424">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汇总来自各个平台发生的数据，统一生成财务凭证。数据源管理维护，凭证模板维护，映射维护，单据生成及其他相关参数维护。确保财务凭证生成准确无误。</w:t>
      </w:r>
    </w:p>
    <w:p w14:paraId="109CF640">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2、财务管理信息系统软件使用问题解答</w:t>
      </w:r>
    </w:p>
    <w:p w14:paraId="709FC1A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软件使用人员在操作使用过程中遇到的问题，需对问题进行及时处理。若有新进人员使用软件，需对新进人员进行培训。如新增功能操作或者其他异于现有流程的改动，需要进行全面培训。</w:t>
      </w:r>
    </w:p>
    <w:p w14:paraId="3BD5EE2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3、相关服务器的运维</w:t>
      </w:r>
    </w:p>
    <w:p w14:paraId="191F1695">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服务器硬件运维</w:t>
      </w:r>
    </w:p>
    <w:p w14:paraId="58B20AA0">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硬件是服务器的基础。需要定期对服务器硬件进行检查，以确保其正常运行。包括：</w:t>
      </w:r>
    </w:p>
    <w:p w14:paraId="414E7451">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硬盘检查：定期检查硬盘的健康状态，防止硬盘故障导致数据丢失。</w:t>
      </w:r>
    </w:p>
    <w:p w14:paraId="79D1193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CPU和内存检查：监控CPU和内存的使用情况，以及时发现并处理性能瓶颈。</w:t>
      </w:r>
    </w:p>
    <w:p w14:paraId="65C26D3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硬件故障处理：当硬件出现故障时，运维团队需要迅速响应，及时更换或修复故障硬件。</w:t>
      </w:r>
    </w:p>
    <w:p w14:paraId="6EE49D09">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服务器软件运维</w:t>
      </w:r>
    </w:p>
    <w:p w14:paraId="53695C1A">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服务器软件的稳定运行对于保证服务的连续性至关重要。运维团队需要定期进行软件维护，包括：</w:t>
      </w:r>
    </w:p>
    <w:p w14:paraId="0BFF38C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系统更新：定期更新操作系统和应用软件，以获取最新的安全补丁和功能增强。</w:t>
      </w:r>
    </w:p>
    <w:p w14:paraId="5931C9E9">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软件配置：根据业务需求，调整软件的配置，以提高系统性能和稳定性。</w:t>
      </w:r>
    </w:p>
    <w:p w14:paraId="661BE28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故障排查：当软件出现故障时，运维团队需要能够迅速定位问题，并采取相应的修复措施。</w:t>
      </w:r>
    </w:p>
    <w:p w14:paraId="56CD808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数据备份和恢复</w:t>
      </w:r>
    </w:p>
    <w:p w14:paraId="24C872B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数据是企业的重要资产，保护数据的安全是运维工作的重要部分。运维团队需要制定并执行数据备份和恢复策略，包括：</w:t>
      </w:r>
    </w:p>
    <w:p w14:paraId="38E5AEB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数据备份：定期进行相关系统数据备份，以防止数据丢失。备份的频率和方式应根据数据的重要性和变化频率来确定。</w:t>
      </w:r>
    </w:p>
    <w:p w14:paraId="5E6DAE2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数据恢复：当数据丢失或损坏时，需要能够迅速恢复数据，以减少业务中断的时间。</w:t>
      </w:r>
    </w:p>
    <w:p w14:paraId="30BFD78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服务器安全</w:t>
      </w:r>
    </w:p>
    <w:p w14:paraId="55D894E5">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服务器安全是运维工作的重要组成部分。运维团队需要采取各种措施，以保护服务器免受各种威胁，包括：</w:t>
      </w:r>
    </w:p>
    <w:p w14:paraId="70D4EBE1">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防火墙和入侵检测系统：使用防火墙和入侵检测系统，以防止未经授权的访问和恶意攻击。</w:t>
      </w:r>
    </w:p>
    <w:p w14:paraId="336A1D0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软件更新：定期更新操作系统和应用软件，以获取最新的安全补丁。</w:t>
      </w:r>
    </w:p>
    <w:p w14:paraId="08E7C2C0">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安全审计：定期进行安全审计，检查系统的安全配置和日志，以发现任何可能的安全问题。</w:t>
      </w:r>
    </w:p>
    <w:p w14:paraId="3E26FE3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性能优化</w:t>
      </w:r>
    </w:p>
    <w:p w14:paraId="78F456BA">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性能优化是运维工作的一个重要环节，目标是提高服务器的处理能力，减少响应时间，提高用户满意度。这包括：</w:t>
      </w:r>
    </w:p>
    <w:p w14:paraId="50B0255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缓存优化：使用缓存技术，将常用的数据或请求结果存储在内存中，以减少对硬盘的读写操作，从而提高系统的响应速度。</w:t>
      </w:r>
    </w:p>
    <w:p w14:paraId="1095598B">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数据库优化：对数据库进行优化，包括索引优化、查询优化等，以提高数据的读写速度。</w:t>
      </w:r>
    </w:p>
    <w:p w14:paraId="4C98E24B">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监控和报警</w:t>
      </w:r>
    </w:p>
    <w:p w14:paraId="202E24F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为了及时发现和处理问题，运维团队需要对服务器进行持续的监控，并设置报警机制，包括：</w:t>
      </w:r>
    </w:p>
    <w:p w14:paraId="254C3F9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性能监控：监控服务器的CPU、内存、硬盘和网络的使用情况，以及时发现性能瓶颈。</w:t>
      </w:r>
    </w:p>
    <w:p w14:paraId="793152DB">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日志监控：收集和分析服务器的日志，以便在出现问题时能够迅速定位问题原因。</w:t>
      </w:r>
    </w:p>
    <w:p w14:paraId="49B2314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b/>
          <w:bCs/>
          <w:sz w:val="32"/>
          <w:szCs w:val="32"/>
          <w:highlight w:val="none"/>
        </w:rPr>
      </w:pPr>
      <w:r>
        <w:rPr>
          <w:rFonts w:hint="eastAsia" w:ascii="仿宋" w:hAnsi="仿宋" w:eastAsia="仿宋" w:cs="仿宋"/>
          <w:color w:val="auto"/>
          <w:sz w:val="24"/>
          <w:szCs w:val="24"/>
          <w:highlight w:val="none"/>
        </w:rPr>
        <w:t>报警机制：当监控指标超过预设的阈值时，发送报警信息，提醒运维人员及时处理。</w:t>
      </w:r>
      <w:r>
        <w:rPr>
          <w:rFonts w:hint="eastAsia" w:ascii="仿宋" w:hAnsi="仿宋" w:eastAsia="仿宋" w:cs="仿宋"/>
          <w:b/>
          <w:bCs/>
          <w:sz w:val="32"/>
          <w:szCs w:val="32"/>
          <w:highlight w:val="none"/>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附件2：报价文件格式</w:t>
      </w:r>
    </w:p>
    <w:p w14:paraId="1483E92E">
      <w:pPr>
        <w:pStyle w:val="12"/>
        <w:adjustRightInd w:val="0"/>
        <w:snapToGrid w:val="0"/>
        <w:spacing w:line="579" w:lineRule="exact"/>
        <w:rPr>
          <w:rFonts w:hint="eastAsia" w:ascii="仿宋" w:hAnsi="仿宋" w:eastAsia="仿宋" w:cs="仿宋"/>
          <w:kern w:val="44"/>
          <w:sz w:val="28"/>
          <w:szCs w:val="28"/>
          <w:highlight w:val="none"/>
        </w:rPr>
      </w:pPr>
    </w:p>
    <w:p w14:paraId="57F89644">
      <w:pPr>
        <w:adjustRightInd w:val="0"/>
        <w:snapToGrid w:val="0"/>
        <w:spacing w:line="579" w:lineRule="exact"/>
        <w:jc w:val="center"/>
        <w:rPr>
          <w:rFonts w:ascii="黑体" w:eastAsia="黑体"/>
          <w:sz w:val="44"/>
          <w:szCs w:val="44"/>
          <w:highlight w:val="none"/>
        </w:rPr>
      </w:pPr>
      <w:r>
        <w:rPr>
          <w:rFonts w:hint="eastAsia" w:ascii="黑体" w:eastAsia="黑体"/>
          <w:sz w:val="44"/>
          <w:szCs w:val="44"/>
          <w:highlight w:val="none"/>
        </w:rPr>
        <w:t>报价单</w:t>
      </w:r>
    </w:p>
    <w:p w14:paraId="29DA6764">
      <w:pPr>
        <w:adjustRightInd w:val="0"/>
        <w:snapToGrid w:val="0"/>
        <w:spacing w:line="579" w:lineRule="exact"/>
        <w:ind w:firstLine="640"/>
        <w:rPr>
          <w:rFonts w:ascii="仿宋_GB2312" w:eastAsia="仿宋_GB2312"/>
          <w:sz w:val="32"/>
          <w:szCs w:val="32"/>
          <w:highlight w:val="none"/>
        </w:rPr>
      </w:pPr>
    </w:p>
    <w:p w14:paraId="3BA81DF4">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bCs/>
          <w:sz w:val="32"/>
          <w:szCs w:val="32"/>
          <w:highlight w:val="none"/>
        </w:rPr>
        <w:t>我单位在</w:t>
      </w:r>
      <w:r>
        <w:rPr>
          <w:rFonts w:hint="eastAsia" w:ascii="仿宋" w:hAnsi="仿宋" w:eastAsia="仿宋" w:cs="仿宋"/>
          <w:sz w:val="32"/>
          <w:szCs w:val="32"/>
          <w:highlight w:val="none"/>
          <w:shd w:val="clear" w:color="auto" w:fill="FFFFFF"/>
        </w:rPr>
        <w:t>山东城市服务职业学院财务软件维保项目中的报价为人民币___________元，大写__________元。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highlight w:val="none"/>
        </w:rPr>
      </w:pPr>
    </w:p>
    <w:p w14:paraId="504A8D2C">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sz w:val="32"/>
          <w:szCs w:val="32"/>
          <w:highlight w:val="none"/>
        </w:rPr>
        <w:t>响应情况：</w:t>
      </w:r>
      <w:r>
        <w:rPr>
          <w:rFonts w:hint="eastAsia" w:ascii="仿宋" w:hAnsi="仿宋" w:eastAsia="仿宋" w:cs="仿宋"/>
          <w:sz w:val="32"/>
          <w:szCs w:val="32"/>
          <w:highlight w:val="none"/>
          <w:u w:val="single"/>
        </w:rPr>
        <w:t xml:space="preserve">        （是/否）</w:t>
      </w:r>
      <w:r>
        <w:rPr>
          <w:rFonts w:hint="eastAsia" w:ascii="仿宋" w:hAnsi="仿宋" w:eastAsia="仿宋" w:cs="仿宋"/>
          <w:sz w:val="32"/>
          <w:szCs w:val="32"/>
          <w:highlight w:val="none"/>
        </w:rPr>
        <w:t>完全响应询价公告内容。</w:t>
      </w:r>
    </w:p>
    <w:p w14:paraId="60A2D448">
      <w:pPr>
        <w:pStyle w:val="7"/>
        <w:adjustRightInd w:val="0"/>
        <w:snapToGrid w:val="0"/>
        <w:spacing w:after="0" w:line="579" w:lineRule="exact"/>
        <w:ind w:firstLine="640"/>
        <w:rPr>
          <w:rFonts w:ascii="仿宋_GB2312" w:eastAsia="仿宋_GB2312"/>
          <w:sz w:val="32"/>
          <w:szCs w:val="32"/>
          <w:highlight w:val="none"/>
        </w:rPr>
      </w:pPr>
    </w:p>
    <w:p w14:paraId="446003C2">
      <w:pPr>
        <w:pStyle w:val="7"/>
        <w:adjustRightInd w:val="0"/>
        <w:snapToGrid w:val="0"/>
        <w:spacing w:after="0"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联系人：</w:t>
      </w:r>
    </w:p>
    <w:p w14:paraId="5006EFED">
      <w:pPr>
        <w:adjustRightInd w:val="0"/>
        <w:snapToGrid w:val="0"/>
        <w:spacing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联系电话：</w:t>
      </w:r>
    </w:p>
    <w:p w14:paraId="7199C36C">
      <w:pPr>
        <w:pStyle w:val="3"/>
        <w:adjustRightInd w:val="0"/>
        <w:snapToGrid w:val="0"/>
        <w:spacing w:line="579" w:lineRule="exact"/>
        <w:ind w:firstLine="643"/>
        <w:jc w:val="both"/>
        <w:rPr>
          <w:sz w:val="32"/>
          <w:highlight w:val="none"/>
        </w:rPr>
      </w:pPr>
    </w:p>
    <w:p w14:paraId="0ECA7F14">
      <w:pPr>
        <w:adjustRightInd w:val="0"/>
        <w:snapToGrid w:val="0"/>
        <w:spacing w:line="579" w:lineRule="exact"/>
        <w:ind w:firstLine="420"/>
        <w:rPr>
          <w:highlight w:val="none"/>
        </w:rPr>
      </w:pPr>
    </w:p>
    <w:p w14:paraId="5F433712">
      <w:pPr>
        <w:pStyle w:val="7"/>
        <w:adjustRightInd w:val="0"/>
        <w:snapToGrid w:val="0"/>
        <w:spacing w:after="0" w:line="579" w:lineRule="exact"/>
        <w:ind w:firstLine="640"/>
        <w:jc w:val="center"/>
        <w:rPr>
          <w:sz w:val="32"/>
          <w:szCs w:val="32"/>
          <w:highlight w:val="none"/>
        </w:rPr>
      </w:pPr>
      <w:r>
        <w:rPr>
          <w:rFonts w:hint="eastAsia"/>
          <w:sz w:val="32"/>
          <w:szCs w:val="32"/>
          <w:highlight w:val="none"/>
        </w:rPr>
        <w:t xml:space="preserve">                 报价单位（章）：</w:t>
      </w:r>
    </w:p>
    <w:p w14:paraId="32D4F70C">
      <w:pPr>
        <w:pStyle w:val="7"/>
        <w:adjustRightInd w:val="0"/>
        <w:snapToGrid w:val="0"/>
        <w:spacing w:after="0" w:line="579" w:lineRule="exact"/>
        <w:ind w:firstLine="640"/>
        <w:jc w:val="center"/>
        <w:rPr>
          <w:highlight w:val="none"/>
        </w:rPr>
      </w:pPr>
      <w:r>
        <w:rPr>
          <w:rFonts w:hint="eastAsia"/>
          <w:sz w:val="32"/>
          <w:szCs w:val="32"/>
          <w:highlight w:val="none"/>
        </w:rPr>
        <w:t xml:space="preserve">                            2025年   月  日</w:t>
      </w:r>
    </w:p>
    <w:p w14:paraId="061B8541">
      <w:pPr>
        <w:adjustRightInd w:val="0"/>
        <w:snapToGrid w:val="0"/>
        <w:spacing w:line="579" w:lineRule="exact"/>
        <w:ind w:firstLine="420"/>
        <w:rPr>
          <w:highlight w:val="none"/>
        </w:rPr>
      </w:pPr>
    </w:p>
    <w:p w14:paraId="131E19FA">
      <w:pPr>
        <w:pStyle w:val="12"/>
        <w:adjustRightInd w:val="0"/>
        <w:snapToGrid w:val="0"/>
        <w:spacing w:line="579" w:lineRule="exact"/>
        <w:ind w:firstLine="422"/>
        <w:jc w:val="left"/>
        <w:rPr>
          <w:b/>
          <w:bCs/>
          <w:highlight w:val="none"/>
        </w:rPr>
      </w:pPr>
    </w:p>
    <w:p w14:paraId="02E5E0E4">
      <w:pPr>
        <w:adjustRightInd w:val="0"/>
        <w:snapToGrid w:val="0"/>
        <w:spacing w:line="579" w:lineRule="exact"/>
        <w:ind w:firstLine="640"/>
        <w:rPr>
          <w:rFonts w:hint="eastAsia" w:ascii="仿宋" w:hAnsi="仿宋" w:eastAsia="仿宋" w:cs="仿宋"/>
          <w:kern w:val="44"/>
          <w:sz w:val="28"/>
          <w:szCs w:val="28"/>
          <w:highlight w:val="none"/>
        </w:rPr>
      </w:pPr>
      <w:r>
        <w:rPr>
          <w:rFonts w:ascii="仿宋" w:hAnsi="仿宋" w:eastAsia="仿宋" w:cs="仿宋"/>
          <w:kern w:val="0"/>
          <w:sz w:val="32"/>
          <w:szCs w:val="32"/>
          <w:highlight w:val="none"/>
        </w:rPr>
        <w:br w:type="page"/>
      </w:r>
    </w:p>
    <w:p w14:paraId="119A4506">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highlight w:val="none"/>
        </w:rPr>
      </w:pPr>
    </w:p>
    <w:p w14:paraId="2C86F813">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我公司参与</w:t>
      </w:r>
      <w:r>
        <w:rPr>
          <w:rFonts w:hint="eastAsia" w:ascii="仿宋" w:hAnsi="仿宋" w:eastAsia="仿宋" w:cs="仿宋"/>
          <w:bCs/>
          <w:sz w:val="32"/>
          <w:szCs w:val="32"/>
          <w:highlight w:val="none"/>
          <w:u w:val="single"/>
        </w:rPr>
        <w:t xml:space="preserve">      （项目名称）</w:t>
      </w:r>
      <w:r>
        <w:rPr>
          <w:rFonts w:hint="eastAsia" w:ascii="仿宋" w:hAnsi="仿宋" w:eastAsia="仿宋" w:cs="仿宋"/>
          <w:bCs/>
          <w:sz w:val="32"/>
          <w:szCs w:val="32"/>
          <w:highlight w:val="none"/>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highlight w:val="none"/>
        </w:rPr>
      </w:pPr>
    </w:p>
    <w:p w14:paraId="32C1779D">
      <w:pPr>
        <w:wordWrap w:val="0"/>
        <w:spacing w:line="560" w:lineRule="exact"/>
        <w:jc w:val="right"/>
        <w:textAlignment w:val="center"/>
        <w:rPr>
          <w:rFonts w:hint="eastAsia" w:ascii="宋体" w:hAnsi="宋体"/>
          <w:sz w:val="28"/>
          <w:szCs w:val="28"/>
          <w:highlight w:val="none"/>
        </w:rPr>
      </w:pPr>
    </w:p>
    <w:p w14:paraId="2AD982AA">
      <w:pPr>
        <w:wordWrap w:val="0"/>
        <w:spacing w:line="560" w:lineRule="exact"/>
        <w:jc w:val="right"/>
        <w:textAlignment w:val="center"/>
        <w:rPr>
          <w:rFonts w:hint="eastAsia" w:ascii="宋体" w:hAnsi="宋体"/>
          <w:sz w:val="28"/>
          <w:szCs w:val="28"/>
          <w:highlight w:val="none"/>
        </w:rPr>
      </w:pPr>
    </w:p>
    <w:p w14:paraId="1B40C389">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3B41B1A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89F88A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0AD9700A">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财务状况承诺</w:t>
      </w:r>
    </w:p>
    <w:p w14:paraId="46CFF1FD">
      <w:pPr>
        <w:adjustRightInd w:val="0"/>
        <w:snapToGrid w:val="0"/>
        <w:spacing w:line="579" w:lineRule="exact"/>
        <w:ind w:firstLine="640"/>
        <w:rPr>
          <w:rFonts w:hint="eastAsia" w:ascii="仿宋" w:hAnsi="仿宋" w:eastAsia="仿宋" w:cs="仿宋"/>
          <w:sz w:val="32"/>
          <w:szCs w:val="32"/>
          <w:highlight w:val="none"/>
        </w:rPr>
      </w:pPr>
    </w:p>
    <w:p w14:paraId="0ECD2162">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highlight w:val="none"/>
        </w:rPr>
      </w:pPr>
    </w:p>
    <w:p w14:paraId="629C2368">
      <w:pPr>
        <w:wordWrap w:val="0"/>
        <w:spacing w:line="560" w:lineRule="exact"/>
        <w:textAlignment w:val="center"/>
        <w:rPr>
          <w:rFonts w:hint="eastAsia" w:ascii="宋体" w:hAnsi="宋体"/>
          <w:sz w:val="28"/>
          <w:szCs w:val="28"/>
          <w:highlight w:val="none"/>
        </w:rPr>
      </w:pPr>
    </w:p>
    <w:p w14:paraId="7C0385B5">
      <w:pPr>
        <w:wordWrap w:val="0"/>
        <w:spacing w:line="560" w:lineRule="exact"/>
        <w:jc w:val="right"/>
        <w:textAlignment w:val="center"/>
        <w:rPr>
          <w:rFonts w:hint="eastAsia" w:ascii="宋体" w:hAnsi="宋体"/>
          <w:sz w:val="28"/>
          <w:szCs w:val="28"/>
          <w:highlight w:val="none"/>
        </w:rPr>
      </w:pPr>
    </w:p>
    <w:p w14:paraId="28F6D4A5">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17ABE6A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highlight w:val="none"/>
        </w:rPr>
      </w:pPr>
    </w:p>
    <w:p w14:paraId="5D3F272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142C45D">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highlight w:val="none"/>
        </w:rPr>
      </w:pPr>
    </w:p>
    <w:p w14:paraId="271AB38E">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highlight w:val="none"/>
        </w:rPr>
      </w:pPr>
    </w:p>
    <w:p w14:paraId="1A35E772">
      <w:pPr>
        <w:wordWrap w:val="0"/>
        <w:spacing w:line="560" w:lineRule="exact"/>
        <w:jc w:val="right"/>
        <w:textAlignment w:val="center"/>
        <w:rPr>
          <w:rFonts w:hint="eastAsia" w:ascii="宋体" w:hAnsi="宋体"/>
          <w:sz w:val="28"/>
          <w:szCs w:val="28"/>
          <w:highlight w:val="none"/>
        </w:rPr>
      </w:pPr>
    </w:p>
    <w:p w14:paraId="062AA24C">
      <w:pPr>
        <w:wordWrap w:val="0"/>
        <w:spacing w:line="560" w:lineRule="exact"/>
        <w:jc w:val="right"/>
        <w:textAlignment w:val="center"/>
        <w:rPr>
          <w:rFonts w:hint="eastAsia" w:ascii="宋体" w:hAnsi="宋体"/>
          <w:sz w:val="28"/>
          <w:szCs w:val="28"/>
          <w:highlight w:val="none"/>
        </w:rPr>
      </w:pPr>
    </w:p>
    <w:p w14:paraId="0E080B53">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9F9920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highlight w:val="none"/>
        </w:rPr>
      </w:pPr>
    </w:p>
    <w:p w14:paraId="153CD0E0">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199812A3">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highlight w:val="none"/>
        </w:rPr>
      </w:pPr>
    </w:p>
    <w:p w14:paraId="2F590BA2">
      <w:pPr>
        <w:adjustRightInd w:val="0"/>
        <w:snapToGrid w:val="0"/>
        <w:spacing w:line="579" w:lineRule="exact"/>
        <w:rPr>
          <w:rFonts w:hint="eastAsia" w:ascii="仿宋" w:hAnsi="仿宋" w:eastAsia="仿宋" w:cs="仿宋"/>
          <w:bCs/>
          <w:sz w:val="32"/>
          <w:szCs w:val="32"/>
          <w:highlight w:val="none"/>
        </w:rPr>
      </w:pPr>
      <w:r>
        <w:rPr>
          <w:rFonts w:hint="eastAsia" w:ascii="仿宋" w:hAnsi="仿宋" w:eastAsia="仿宋" w:cs="仿宋"/>
          <w:sz w:val="32"/>
          <w:szCs w:val="32"/>
          <w:highlight w:val="none"/>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highlight w:val="none"/>
        </w:rPr>
      </w:pPr>
    </w:p>
    <w:p w14:paraId="2783F158">
      <w:pPr>
        <w:adjustRightInd w:val="0"/>
        <w:snapToGrid w:val="0"/>
        <w:spacing w:line="579" w:lineRule="exact"/>
        <w:ind w:firstLine="3840" w:firstLineChars="1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03E9C7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highlight w:val="none"/>
        </w:rPr>
      </w:pPr>
    </w:p>
    <w:p w14:paraId="5115383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0CB64F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法定代表人身份证明</w:t>
      </w:r>
    </w:p>
    <w:p w14:paraId="1387E69A">
      <w:pPr>
        <w:spacing w:line="360" w:lineRule="auto"/>
        <w:ind w:firstLine="600" w:firstLineChars="200"/>
        <w:rPr>
          <w:rFonts w:hint="eastAsia" w:ascii="宋体" w:hAnsi="宋体"/>
          <w:sz w:val="30"/>
          <w:highlight w:val="none"/>
        </w:rPr>
      </w:pPr>
    </w:p>
    <w:p w14:paraId="5673F462">
      <w:pPr>
        <w:spacing w:line="360" w:lineRule="auto"/>
        <w:ind w:firstLine="640" w:firstLineChars="200"/>
        <w:rPr>
          <w:rFonts w:hint="eastAsia" w:ascii="宋体" w:hAnsi="宋体"/>
          <w:sz w:val="24"/>
          <w:highlight w:val="none"/>
        </w:rPr>
      </w:pPr>
      <w:r>
        <w:rPr>
          <w:rFonts w:hint="eastAsia" w:ascii="仿宋" w:hAnsi="仿宋" w:eastAsia="仿宋" w:cs="仿宋"/>
          <w:bCs/>
          <w:sz w:val="32"/>
          <w:szCs w:val="32"/>
          <w:highlight w:val="none"/>
        </w:rPr>
        <w:t>兹证明</w:t>
      </w:r>
      <w:r>
        <w:rPr>
          <w:rFonts w:hint="eastAsia" w:ascii="宋体" w:hAnsi="宋体"/>
          <w:sz w:val="24"/>
          <w:highlight w:val="none"/>
          <w:u w:val="single"/>
        </w:rPr>
        <w:t xml:space="preserve">                   </w:t>
      </w:r>
      <w:r>
        <w:rPr>
          <w:rFonts w:hint="eastAsia" w:ascii="仿宋" w:hAnsi="仿宋" w:eastAsia="仿宋" w:cs="仿宋"/>
          <w:bCs/>
          <w:sz w:val="32"/>
          <w:szCs w:val="32"/>
          <w:highlight w:val="none"/>
        </w:rPr>
        <w:t>同志，为我单位的法定代表人，身份证号码为</w:t>
      </w:r>
      <w:r>
        <w:rPr>
          <w:rFonts w:hint="eastAsia" w:ascii="宋体" w:hAnsi="宋体"/>
          <w:sz w:val="24"/>
          <w:highlight w:val="none"/>
          <w:u w:val="single"/>
        </w:rPr>
        <w:t xml:space="preserve">                          </w:t>
      </w:r>
      <w:r>
        <w:rPr>
          <w:rFonts w:hint="eastAsia" w:ascii="宋体" w:hAnsi="宋体"/>
          <w:sz w:val="24"/>
          <w:highlight w:val="none"/>
        </w:rPr>
        <w:t>。</w:t>
      </w:r>
    </w:p>
    <w:p w14:paraId="696395C5">
      <w:pPr>
        <w:spacing w:line="360" w:lineRule="auto"/>
        <w:ind w:firstLine="480"/>
        <w:rPr>
          <w:rFonts w:hint="eastAsia" w:ascii="宋体" w:hAnsi="宋体"/>
          <w:sz w:val="24"/>
          <w:highlight w:val="none"/>
        </w:rPr>
      </w:pPr>
    </w:p>
    <w:p w14:paraId="202C8A8E">
      <w:pPr>
        <w:spacing w:line="360" w:lineRule="auto"/>
        <w:ind w:firstLine="5440" w:firstLineChars="17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供应商：（公章）</w:t>
      </w:r>
    </w:p>
    <w:p w14:paraId="25C0A183">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3C73EAD2">
      <w:pPr>
        <w:tabs>
          <w:tab w:val="left" w:pos="5000"/>
        </w:tabs>
        <w:spacing w:line="360" w:lineRule="auto"/>
        <w:ind w:left="420" w:leftChars="200" w:firstLine="482" w:firstLineChars="200"/>
        <w:jc w:val="center"/>
        <w:rPr>
          <w:rFonts w:hint="eastAsia" w:ascii="宋体" w:hAnsi="宋体"/>
          <w:b/>
          <w:bCs/>
          <w:sz w:val="24"/>
          <w:highlight w:val="none"/>
        </w:rPr>
      </w:pPr>
    </w:p>
    <w:p w14:paraId="29411E27">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法定代表人身份证</w:t>
            </w:r>
          </w:p>
          <w:p w14:paraId="4FBFE41F">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02152869">
            <w:pPr>
              <w:tabs>
                <w:tab w:val="left" w:pos="5000"/>
              </w:tabs>
              <w:spacing w:line="360" w:lineRule="auto"/>
              <w:ind w:firstLine="480"/>
              <w:jc w:val="center"/>
              <w:rPr>
                <w:rFonts w:hint="eastAsia" w:ascii="宋体" w:hAnsi="宋体"/>
                <w:sz w:val="24"/>
                <w:highlight w:val="none"/>
              </w:rPr>
            </w:pPr>
          </w:p>
        </w:tc>
      </w:tr>
    </w:tbl>
    <w:p w14:paraId="6FFC6912">
      <w:pPr>
        <w:ind w:firstLine="640"/>
        <w:rPr>
          <w:rFonts w:hint="eastAsia" w:ascii="仿宋" w:hAnsi="仿宋" w:eastAsia="仿宋" w:cs="仿宋"/>
          <w:bCs/>
          <w:sz w:val="32"/>
          <w:szCs w:val="32"/>
          <w:highlight w:val="none"/>
        </w:rPr>
      </w:pPr>
    </w:p>
    <w:p w14:paraId="03F51DD1">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2A9629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法定代表人授权书</w:t>
      </w:r>
    </w:p>
    <w:p w14:paraId="385E1552">
      <w:pPr>
        <w:spacing w:line="360" w:lineRule="auto"/>
        <w:rPr>
          <w:rFonts w:hint="eastAsia" w:ascii="仿宋" w:hAnsi="仿宋" w:eastAsia="仿宋" w:cs="仿宋"/>
          <w:bCs/>
          <w:sz w:val="32"/>
          <w:szCs w:val="32"/>
          <w:highlight w:val="none"/>
        </w:rPr>
      </w:pPr>
    </w:p>
    <w:p w14:paraId="72F1999B">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u w:val="single"/>
        </w:rPr>
        <w:t>（供应商名称）</w:t>
      </w:r>
      <w:r>
        <w:rPr>
          <w:rFonts w:hint="eastAsia" w:ascii="仿宋" w:hAnsi="仿宋" w:eastAsia="仿宋" w:cs="仿宋"/>
          <w:bCs/>
          <w:sz w:val="32"/>
          <w:szCs w:val="32"/>
          <w:highlight w:val="none"/>
        </w:rPr>
        <w:t>法定代表人</w:t>
      </w:r>
      <w:r>
        <w:rPr>
          <w:rFonts w:hint="eastAsia" w:ascii="宋体" w:hAnsi="宋体"/>
          <w:sz w:val="24"/>
          <w:highlight w:val="none"/>
          <w:u w:val="single"/>
        </w:rPr>
        <w:t xml:space="preserve">        </w:t>
      </w:r>
      <w:r>
        <w:rPr>
          <w:rFonts w:hint="eastAsia" w:ascii="仿宋" w:hAnsi="仿宋" w:eastAsia="仿宋" w:cs="仿宋"/>
          <w:bCs/>
          <w:sz w:val="32"/>
          <w:szCs w:val="32"/>
          <w:highlight w:val="none"/>
        </w:rPr>
        <w:t>授权我单位</w:t>
      </w:r>
      <w:r>
        <w:rPr>
          <w:rFonts w:hint="eastAsia" w:ascii="宋体" w:hAnsi="宋体"/>
          <w:sz w:val="24"/>
          <w:highlight w:val="none"/>
          <w:u w:val="single"/>
        </w:rPr>
        <w:t xml:space="preserve">        </w:t>
      </w:r>
    </w:p>
    <w:p w14:paraId="1341D114">
      <w:pPr>
        <w:adjustRightInd w:val="0"/>
        <w:snapToGrid w:val="0"/>
        <w:spacing w:line="360" w:lineRule="auto"/>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rPr>
        <w:t>（授权代表姓名、身份证号码）为授权代表，参加贵单位组织的</w:t>
      </w:r>
      <w:r>
        <w:rPr>
          <w:rFonts w:hint="eastAsia" w:ascii="宋体" w:hAnsi="宋体"/>
          <w:sz w:val="24"/>
          <w:highlight w:val="none"/>
          <w:u w:val="single"/>
        </w:rPr>
        <w:t xml:space="preserve">        </w:t>
      </w:r>
      <w:r>
        <w:rPr>
          <w:rFonts w:hint="eastAsia" w:ascii="仿宋" w:hAnsi="仿宋" w:eastAsia="仿宋" w:cs="仿宋"/>
          <w:bCs/>
          <w:sz w:val="32"/>
          <w:szCs w:val="32"/>
          <w:highlight w:val="none"/>
        </w:rPr>
        <w:t>项目采购活动，全权处理采购活动中的一切事宜。授权代表无转委托权。</w:t>
      </w:r>
    </w:p>
    <w:p w14:paraId="3091398A">
      <w:pPr>
        <w:spacing w:line="360" w:lineRule="auto"/>
        <w:ind w:firstLine="643" w:firstLineChars="200"/>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授权代表需为公司员工并在该公司缴纳社保，需附该授权代表在该公司参保的证明材料(六个月内任意一个月社会保险的缴费证明，需体现人员明细)。</w:t>
      </w:r>
    </w:p>
    <w:p w14:paraId="088B0B5E">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法定代表人（签章）：</w:t>
      </w:r>
    </w:p>
    <w:p w14:paraId="1F5DC0D9">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供应商名称（公章）：</w:t>
      </w:r>
    </w:p>
    <w:p w14:paraId="5A6E5CF0">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highlight w:val="none"/>
        </w:rPr>
      </w:pPr>
    </w:p>
    <w:p w14:paraId="5870F99F">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授权代表身份证</w:t>
            </w:r>
          </w:p>
          <w:p w14:paraId="11A066AD">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2CA53B73">
            <w:pPr>
              <w:tabs>
                <w:tab w:val="left" w:pos="5000"/>
              </w:tabs>
              <w:spacing w:line="360" w:lineRule="auto"/>
              <w:ind w:firstLine="480"/>
              <w:jc w:val="center"/>
              <w:rPr>
                <w:rFonts w:hint="eastAsia" w:ascii="宋体" w:hAnsi="宋体"/>
                <w:sz w:val="24"/>
                <w:highlight w:val="none"/>
              </w:rPr>
            </w:pPr>
          </w:p>
        </w:tc>
      </w:tr>
    </w:tbl>
    <w:p w14:paraId="09F05846">
      <w:pPr>
        <w:adjustRightInd w:val="0"/>
        <w:snapToGrid w:val="0"/>
        <w:spacing w:line="312" w:lineRule="auto"/>
        <w:rPr>
          <w:rFonts w:hint="eastAsia" w:ascii="黑体" w:hAnsi="黑体" w:eastAsia="黑体" w:cs="黑体"/>
          <w:sz w:val="32"/>
          <w:szCs w:val="32"/>
          <w:highlight w:val="none"/>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B49F04-0D00-4730-81DC-028FCC8D7F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E927AAB-86F6-4563-AF6D-420686A98AC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4985C2F9-926D-4559-8BA6-DE94AF9FA790}"/>
  </w:font>
  <w:font w:name="方正小标宋_GBK">
    <w:panose1 w:val="03000509000000000000"/>
    <w:charset w:val="86"/>
    <w:family w:val="auto"/>
    <w:pitch w:val="default"/>
    <w:sig w:usb0="00000001" w:usb1="080E0000" w:usb2="00000000" w:usb3="00000000" w:csb0="00040000" w:csb1="00000000"/>
    <w:embedRegular r:id="rId4" w:fontKey="{9F0BEBE3-388F-4CC5-9FE3-6208B5B02C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1331DE9"/>
    <w:rsid w:val="022D6DD9"/>
    <w:rsid w:val="02A12ECC"/>
    <w:rsid w:val="02B92999"/>
    <w:rsid w:val="02E4587F"/>
    <w:rsid w:val="02F72AEC"/>
    <w:rsid w:val="03703B1F"/>
    <w:rsid w:val="046F4587"/>
    <w:rsid w:val="05195543"/>
    <w:rsid w:val="05D7579C"/>
    <w:rsid w:val="05E64439"/>
    <w:rsid w:val="06856661"/>
    <w:rsid w:val="06D0507E"/>
    <w:rsid w:val="06FD2896"/>
    <w:rsid w:val="07612C2A"/>
    <w:rsid w:val="080C424A"/>
    <w:rsid w:val="08766BA9"/>
    <w:rsid w:val="08CC3E0A"/>
    <w:rsid w:val="09ED4C49"/>
    <w:rsid w:val="0A5B187E"/>
    <w:rsid w:val="0B277D11"/>
    <w:rsid w:val="0BF73B5D"/>
    <w:rsid w:val="0C127D8D"/>
    <w:rsid w:val="0CB60CAE"/>
    <w:rsid w:val="0CC93CD1"/>
    <w:rsid w:val="0D060633"/>
    <w:rsid w:val="0D304EE6"/>
    <w:rsid w:val="0D57752D"/>
    <w:rsid w:val="0D6202AC"/>
    <w:rsid w:val="0D815DD4"/>
    <w:rsid w:val="0DAD6BC9"/>
    <w:rsid w:val="0E044259"/>
    <w:rsid w:val="0E06452B"/>
    <w:rsid w:val="0E286250"/>
    <w:rsid w:val="0E4C22AB"/>
    <w:rsid w:val="0F5D70C6"/>
    <w:rsid w:val="0FB304D1"/>
    <w:rsid w:val="0FC64EC2"/>
    <w:rsid w:val="10094278"/>
    <w:rsid w:val="10CD1887"/>
    <w:rsid w:val="10E94F32"/>
    <w:rsid w:val="110922F6"/>
    <w:rsid w:val="11692E07"/>
    <w:rsid w:val="125F0104"/>
    <w:rsid w:val="127E15CE"/>
    <w:rsid w:val="12DE7825"/>
    <w:rsid w:val="130C11DC"/>
    <w:rsid w:val="14195C65"/>
    <w:rsid w:val="143516C6"/>
    <w:rsid w:val="145F42FA"/>
    <w:rsid w:val="147B70C9"/>
    <w:rsid w:val="14935FC6"/>
    <w:rsid w:val="14CA0061"/>
    <w:rsid w:val="15032F06"/>
    <w:rsid w:val="153F62C9"/>
    <w:rsid w:val="15A44D56"/>
    <w:rsid w:val="16027CCE"/>
    <w:rsid w:val="16626EBF"/>
    <w:rsid w:val="17C63699"/>
    <w:rsid w:val="17F30142"/>
    <w:rsid w:val="17F65611"/>
    <w:rsid w:val="189605A6"/>
    <w:rsid w:val="193F2C5A"/>
    <w:rsid w:val="1A106FA5"/>
    <w:rsid w:val="1AA90718"/>
    <w:rsid w:val="1AB1581F"/>
    <w:rsid w:val="1B0911B7"/>
    <w:rsid w:val="1B4B48F2"/>
    <w:rsid w:val="1C940F54"/>
    <w:rsid w:val="1D5E7905"/>
    <w:rsid w:val="1D8526A8"/>
    <w:rsid w:val="1D8F4C97"/>
    <w:rsid w:val="1DFB34B4"/>
    <w:rsid w:val="1EA72C3C"/>
    <w:rsid w:val="1EF614DB"/>
    <w:rsid w:val="1F2F2768"/>
    <w:rsid w:val="1F3D58D3"/>
    <w:rsid w:val="1F455F0E"/>
    <w:rsid w:val="1FCB7383"/>
    <w:rsid w:val="1FD5663A"/>
    <w:rsid w:val="20790B8D"/>
    <w:rsid w:val="208465D8"/>
    <w:rsid w:val="209E0DEE"/>
    <w:rsid w:val="20C32667"/>
    <w:rsid w:val="20C3321F"/>
    <w:rsid w:val="21B80854"/>
    <w:rsid w:val="21B90E78"/>
    <w:rsid w:val="222F59A7"/>
    <w:rsid w:val="22982642"/>
    <w:rsid w:val="22C30BE6"/>
    <w:rsid w:val="23BE2A01"/>
    <w:rsid w:val="23BF71FF"/>
    <w:rsid w:val="24283596"/>
    <w:rsid w:val="2443573A"/>
    <w:rsid w:val="24B4658A"/>
    <w:rsid w:val="25EB348C"/>
    <w:rsid w:val="27662C46"/>
    <w:rsid w:val="27B20949"/>
    <w:rsid w:val="27FB62BC"/>
    <w:rsid w:val="28197497"/>
    <w:rsid w:val="28396551"/>
    <w:rsid w:val="28DD2273"/>
    <w:rsid w:val="29342F34"/>
    <w:rsid w:val="298412AF"/>
    <w:rsid w:val="2A7D244B"/>
    <w:rsid w:val="2AD06EC1"/>
    <w:rsid w:val="2AF913FB"/>
    <w:rsid w:val="2B195446"/>
    <w:rsid w:val="2BCE6231"/>
    <w:rsid w:val="2BDD3EB9"/>
    <w:rsid w:val="2CC441CC"/>
    <w:rsid w:val="2DDC694B"/>
    <w:rsid w:val="2E2446A0"/>
    <w:rsid w:val="2E5A1FFE"/>
    <w:rsid w:val="2F0239FE"/>
    <w:rsid w:val="2FC31E25"/>
    <w:rsid w:val="30DC061C"/>
    <w:rsid w:val="316E6365"/>
    <w:rsid w:val="32567B94"/>
    <w:rsid w:val="327535D1"/>
    <w:rsid w:val="328A6C2A"/>
    <w:rsid w:val="32B5664A"/>
    <w:rsid w:val="32CC7CEF"/>
    <w:rsid w:val="32EE71B8"/>
    <w:rsid w:val="33520DF0"/>
    <w:rsid w:val="335C6885"/>
    <w:rsid w:val="33A8380B"/>
    <w:rsid w:val="3457664B"/>
    <w:rsid w:val="35860ABB"/>
    <w:rsid w:val="35B5220F"/>
    <w:rsid w:val="361C228F"/>
    <w:rsid w:val="362C0724"/>
    <w:rsid w:val="366C6D72"/>
    <w:rsid w:val="366D52F7"/>
    <w:rsid w:val="36F15A6F"/>
    <w:rsid w:val="37357CCA"/>
    <w:rsid w:val="374B2E2B"/>
    <w:rsid w:val="38DB3D3B"/>
    <w:rsid w:val="38EA248E"/>
    <w:rsid w:val="393C6ED0"/>
    <w:rsid w:val="3950579F"/>
    <w:rsid w:val="397A17A6"/>
    <w:rsid w:val="39B54FF3"/>
    <w:rsid w:val="3B1B2B15"/>
    <w:rsid w:val="3CD85F7F"/>
    <w:rsid w:val="3DB850D0"/>
    <w:rsid w:val="3DBA4867"/>
    <w:rsid w:val="3E47606A"/>
    <w:rsid w:val="3F2662DB"/>
    <w:rsid w:val="3FE7577B"/>
    <w:rsid w:val="3FF37812"/>
    <w:rsid w:val="40CE1C3C"/>
    <w:rsid w:val="415011C2"/>
    <w:rsid w:val="41C55C07"/>
    <w:rsid w:val="42186000"/>
    <w:rsid w:val="425F1B51"/>
    <w:rsid w:val="42C42CE4"/>
    <w:rsid w:val="42DE74DA"/>
    <w:rsid w:val="42F64DCA"/>
    <w:rsid w:val="4328576B"/>
    <w:rsid w:val="43D560EF"/>
    <w:rsid w:val="440C422F"/>
    <w:rsid w:val="445D43DB"/>
    <w:rsid w:val="44B92072"/>
    <w:rsid w:val="46190D48"/>
    <w:rsid w:val="4685178A"/>
    <w:rsid w:val="468E4AE3"/>
    <w:rsid w:val="46FA3F26"/>
    <w:rsid w:val="474433F3"/>
    <w:rsid w:val="47DA651D"/>
    <w:rsid w:val="48B03D81"/>
    <w:rsid w:val="48FF25D1"/>
    <w:rsid w:val="49531B59"/>
    <w:rsid w:val="497D499A"/>
    <w:rsid w:val="4A01538E"/>
    <w:rsid w:val="4BDA60D4"/>
    <w:rsid w:val="4BDE4EA5"/>
    <w:rsid w:val="4BFB17A1"/>
    <w:rsid w:val="4D0347BD"/>
    <w:rsid w:val="4DD17574"/>
    <w:rsid w:val="4DEF0B96"/>
    <w:rsid w:val="4EBC40BC"/>
    <w:rsid w:val="4F935FCE"/>
    <w:rsid w:val="4FEF08C3"/>
    <w:rsid w:val="52CB56EE"/>
    <w:rsid w:val="532A086D"/>
    <w:rsid w:val="53CC27A6"/>
    <w:rsid w:val="53D42103"/>
    <w:rsid w:val="54406A6A"/>
    <w:rsid w:val="54DA28DC"/>
    <w:rsid w:val="55452810"/>
    <w:rsid w:val="55EB1D4E"/>
    <w:rsid w:val="561548D9"/>
    <w:rsid w:val="5636066D"/>
    <w:rsid w:val="5640122A"/>
    <w:rsid w:val="567857B9"/>
    <w:rsid w:val="573E3592"/>
    <w:rsid w:val="57B75CAF"/>
    <w:rsid w:val="57CE1F95"/>
    <w:rsid w:val="58120A0F"/>
    <w:rsid w:val="581C679B"/>
    <w:rsid w:val="5823689E"/>
    <w:rsid w:val="58AB0101"/>
    <w:rsid w:val="58F24A5D"/>
    <w:rsid w:val="592E1EB3"/>
    <w:rsid w:val="5937343D"/>
    <w:rsid w:val="599E7D41"/>
    <w:rsid w:val="59D05A7A"/>
    <w:rsid w:val="5A1C60DC"/>
    <w:rsid w:val="5A345068"/>
    <w:rsid w:val="5AD76600"/>
    <w:rsid w:val="5B3D26BF"/>
    <w:rsid w:val="5B5D1D92"/>
    <w:rsid w:val="5BB26726"/>
    <w:rsid w:val="5BCC6A5E"/>
    <w:rsid w:val="5BDC37A3"/>
    <w:rsid w:val="5C1075E8"/>
    <w:rsid w:val="5C9A2217"/>
    <w:rsid w:val="5CFF1951"/>
    <w:rsid w:val="5DF1771A"/>
    <w:rsid w:val="5DFF1020"/>
    <w:rsid w:val="5E05081A"/>
    <w:rsid w:val="5E7E4EC5"/>
    <w:rsid w:val="5EF74ED0"/>
    <w:rsid w:val="5F573903"/>
    <w:rsid w:val="5F837C91"/>
    <w:rsid w:val="5FA62A45"/>
    <w:rsid w:val="5FA82CED"/>
    <w:rsid w:val="60970099"/>
    <w:rsid w:val="613F280A"/>
    <w:rsid w:val="616E578F"/>
    <w:rsid w:val="62065A1D"/>
    <w:rsid w:val="622E5C0C"/>
    <w:rsid w:val="63774944"/>
    <w:rsid w:val="63957059"/>
    <w:rsid w:val="640E2967"/>
    <w:rsid w:val="644C3BBB"/>
    <w:rsid w:val="644F2874"/>
    <w:rsid w:val="64CA2D32"/>
    <w:rsid w:val="6597408E"/>
    <w:rsid w:val="65AA11A0"/>
    <w:rsid w:val="65CB7EF0"/>
    <w:rsid w:val="65E5371C"/>
    <w:rsid w:val="68182006"/>
    <w:rsid w:val="68317D8A"/>
    <w:rsid w:val="685272C6"/>
    <w:rsid w:val="68B03FED"/>
    <w:rsid w:val="69076303"/>
    <w:rsid w:val="69B61AD7"/>
    <w:rsid w:val="69E64183"/>
    <w:rsid w:val="69F05638"/>
    <w:rsid w:val="6B6735E6"/>
    <w:rsid w:val="6BA442DD"/>
    <w:rsid w:val="6BBF2EC5"/>
    <w:rsid w:val="6D994E55"/>
    <w:rsid w:val="6E2E7E8E"/>
    <w:rsid w:val="6EB406DC"/>
    <w:rsid w:val="6EB8009F"/>
    <w:rsid w:val="6ECE1671"/>
    <w:rsid w:val="6F7A7103"/>
    <w:rsid w:val="7017647D"/>
    <w:rsid w:val="70287836"/>
    <w:rsid w:val="70B75FBE"/>
    <w:rsid w:val="716360A0"/>
    <w:rsid w:val="717573DC"/>
    <w:rsid w:val="71973F9C"/>
    <w:rsid w:val="721A5B23"/>
    <w:rsid w:val="72563E57"/>
    <w:rsid w:val="72633030"/>
    <w:rsid w:val="728670E0"/>
    <w:rsid w:val="72B25EF2"/>
    <w:rsid w:val="72B4110E"/>
    <w:rsid w:val="73AD7FE6"/>
    <w:rsid w:val="74122000"/>
    <w:rsid w:val="743B061C"/>
    <w:rsid w:val="749063A1"/>
    <w:rsid w:val="74AE0965"/>
    <w:rsid w:val="74E36253"/>
    <w:rsid w:val="74EC0AA3"/>
    <w:rsid w:val="75591B14"/>
    <w:rsid w:val="757E5AF3"/>
    <w:rsid w:val="75EB2B08"/>
    <w:rsid w:val="76073C0E"/>
    <w:rsid w:val="76226A73"/>
    <w:rsid w:val="772C7A34"/>
    <w:rsid w:val="774536CC"/>
    <w:rsid w:val="77476464"/>
    <w:rsid w:val="779A60BA"/>
    <w:rsid w:val="787362B9"/>
    <w:rsid w:val="789D25DD"/>
    <w:rsid w:val="78F9553C"/>
    <w:rsid w:val="790A14F7"/>
    <w:rsid w:val="791D5A43"/>
    <w:rsid w:val="79813654"/>
    <w:rsid w:val="79960FDD"/>
    <w:rsid w:val="79976771"/>
    <w:rsid w:val="7A49604F"/>
    <w:rsid w:val="7B6C2C49"/>
    <w:rsid w:val="7BAB01C1"/>
    <w:rsid w:val="7BBF0CBF"/>
    <w:rsid w:val="7DA77C5D"/>
    <w:rsid w:val="7E2D0162"/>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4624</Words>
  <Characters>4708</Characters>
  <Lines>119</Lines>
  <Paragraphs>98</Paragraphs>
  <TotalTime>6</TotalTime>
  <ScaleCrop>false</ScaleCrop>
  <LinksUpToDate>false</LinksUpToDate>
  <CharactersWithSpaces>5141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2025-11-18T08:37:07Z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853D723A5E854F7D86741418F09D1B2A_13</vt:lpwstr>
  </property>
  <property fmtid="{D5CDD505-2E9C-101B-9397-08002B2CF9AE}" pid="4" name="KSOTemplateDocerSaveRecord">
    <vt:lpwstr>eyJoZGlkIjoiMzY4YzVmMGRkOTYzMGM5MGEwMmI0ZDYwOWE1MjhiOTEiLCJ1c2VySWQiOiIxNjI3OTk4OTI2In0=</vt:lpwstr>
  </property>
</Properties>
</file>