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C9F17">
      <w:pPr>
        <w:spacing w:line="360" w:lineRule="auto"/>
        <w:rPr>
          <w:rFonts w:hint="eastAsia"/>
          <w:b/>
          <w:sz w:val="72"/>
          <w:szCs w:val="72"/>
        </w:rPr>
      </w:pPr>
    </w:p>
    <w:p w14:paraId="290061DF">
      <w:pPr>
        <w:spacing w:line="360" w:lineRule="auto"/>
        <w:jc w:val="center"/>
        <w:rPr>
          <w:b/>
          <w:sz w:val="72"/>
          <w:szCs w:val="72"/>
        </w:rPr>
      </w:pPr>
    </w:p>
    <w:p w14:paraId="72B74C63">
      <w:pPr>
        <w:bidi w:val="0"/>
        <w:jc w:val="center"/>
        <w:rPr>
          <w:rFonts w:hint="eastAsia" w:ascii="方正小标宋简体" w:hAnsi="方正小标宋简体" w:eastAsia="方正小标宋简体" w:cs="方正小标宋简体"/>
          <w:sz w:val="44"/>
          <w:szCs w:val="44"/>
        </w:rPr>
      </w:pPr>
    </w:p>
    <w:p w14:paraId="124430FB">
      <w:pPr>
        <w:ind w:left="0" w:leftChars="0" w:firstLine="0" w:firstLineChars="0"/>
        <w:jc w:val="center"/>
        <w:rPr>
          <w:rFonts w:ascii="Calibri" w:hAnsi="Calibri"/>
          <w:b/>
          <w:sz w:val="72"/>
          <w:szCs w:val="72"/>
        </w:rPr>
      </w:pPr>
      <w:bookmarkStart w:id="0" w:name="_Toc25160"/>
      <w:r>
        <w:rPr>
          <w:rFonts w:hint="eastAsia" w:asciiTheme="minorEastAsia" w:hAnsiTheme="minorEastAsia" w:eastAsiaTheme="minorEastAsia" w:cstheme="minorEastAsia"/>
          <w:b/>
          <w:bCs/>
          <w:sz w:val="72"/>
          <w:szCs w:val="72"/>
          <w:lang w:val="en-US" w:eastAsia="zh-CN"/>
        </w:rPr>
        <w:t>2025级食品检验检测技术</w:t>
      </w:r>
      <w:r>
        <w:rPr>
          <w:rFonts w:hint="eastAsia" w:asciiTheme="minorEastAsia" w:hAnsiTheme="minorEastAsia" w:eastAsiaTheme="minorEastAsia" w:cstheme="minorEastAsia"/>
          <w:b/>
          <w:bCs/>
          <w:sz w:val="72"/>
          <w:szCs w:val="72"/>
        </w:rPr>
        <w:t>专业</w:t>
      </w:r>
      <w:bookmarkEnd w:id="0"/>
      <w:bookmarkStart w:id="1" w:name="_Toc2956"/>
      <w:r>
        <w:rPr>
          <w:rFonts w:hint="eastAsia" w:asciiTheme="minorEastAsia" w:hAnsiTheme="minorEastAsia" w:eastAsiaTheme="minorEastAsia" w:cstheme="minorEastAsia"/>
          <w:b/>
          <w:bCs/>
          <w:sz w:val="72"/>
          <w:szCs w:val="72"/>
        </w:rPr>
        <w:t>人才培养方案</w:t>
      </w:r>
      <w:bookmarkEnd w:id="1"/>
    </w:p>
    <w:p w14:paraId="480ED5BA">
      <w:pPr>
        <w:spacing w:line="360" w:lineRule="auto"/>
        <w:jc w:val="center"/>
        <w:rPr>
          <w:b/>
          <w:sz w:val="24"/>
        </w:rPr>
      </w:pPr>
    </w:p>
    <w:p w14:paraId="4A321FB1">
      <w:pPr>
        <w:spacing w:line="360" w:lineRule="auto"/>
        <w:jc w:val="center"/>
        <w:rPr>
          <w:b/>
          <w:sz w:val="24"/>
        </w:rPr>
      </w:pPr>
    </w:p>
    <w:p w14:paraId="52C4E354">
      <w:pPr>
        <w:spacing w:line="360" w:lineRule="auto"/>
        <w:jc w:val="center"/>
        <w:rPr>
          <w:b/>
          <w:sz w:val="24"/>
        </w:rPr>
      </w:pPr>
    </w:p>
    <w:p w14:paraId="65E95C46">
      <w:pPr>
        <w:spacing w:line="360" w:lineRule="auto"/>
        <w:jc w:val="center"/>
        <w:rPr>
          <w:b/>
          <w:sz w:val="24"/>
        </w:rPr>
      </w:pPr>
    </w:p>
    <w:p w14:paraId="536409CC">
      <w:pPr>
        <w:spacing w:line="360" w:lineRule="auto"/>
        <w:jc w:val="center"/>
        <w:rPr>
          <w:b/>
          <w:sz w:val="24"/>
        </w:rPr>
      </w:pPr>
    </w:p>
    <w:p w14:paraId="5C39ADA1">
      <w:pPr>
        <w:spacing w:line="360" w:lineRule="auto"/>
        <w:jc w:val="center"/>
        <w:rPr>
          <w:b/>
          <w:sz w:val="24"/>
        </w:rPr>
      </w:pPr>
    </w:p>
    <w:p w14:paraId="79D78F80">
      <w:pPr>
        <w:spacing w:line="360" w:lineRule="auto"/>
        <w:jc w:val="center"/>
        <w:rPr>
          <w:b/>
          <w:sz w:val="24"/>
        </w:rPr>
      </w:pPr>
    </w:p>
    <w:p w14:paraId="2E0C7BAD">
      <w:pPr>
        <w:spacing w:line="360" w:lineRule="auto"/>
        <w:jc w:val="center"/>
        <w:rPr>
          <w:b/>
          <w:sz w:val="24"/>
        </w:rPr>
      </w:pPr>
    </w:p>
    <w:p w14:paraId="1EB2DF1F">
      <w:pPr>
        <w:spacing w:line="360" w:lineRule="auto"/>
        <w:jc w:val="center"/>
        <w:rPr>
          <w:b/>
          <w:sz w:val="24"/>
        </w:rPr>
      </w:pPr>
    </w:p>
    <w:p w14:paraId="43C3875D">
      <w:pPr>
        <w:spacing w:line="360" w:lineRule="auto"/>
        <w:jc w:val="center"/>
        <w:rPr>
          <w:b/>
          <w:sz w:val="24"/>
        </w:rPr>
      </w:pPr>
    </w:p>
    <w:p w14:paraId="688EFE86">
      <w:pPr>
        <w:spacing w:line="360" w:lineRule="auto"/>
        <w:jc w:val="center"/>
        <w:rPr>
          <w:b/>
          <w:sz w:val="24"/>
        </w:rPr>
      </w:pPr>
    </w:p>
    <w:p w14:paraId="2D4445AF">
      <w:pPr>
        <w:spacing w:line="360" w:lineRule="auto"/>
        <w:jc w:val="center"/>
        <w:rPr>
          <w:b/>
          <w:sz w:val="24"/>
        </w:rPr>
      </w:pPr>
    </w:p>
    <w:p w14:paraId="009EA167">
      <w:pPr>
        <w:spacing w:line="360" w:lineRule="auto"/>
        <w:jc w:val="center"/>
        <w:rPr>
          <w:b/>
          <w:sz w:val="24"/>
        </w:rPr>
      </w:pPr>
    </w:p>
    <w:p w14:paraId="1802A318">
      <w:pPr>
        <w:spacing w:line="360" w:lineRule="auto"/>
        <w:jc w:val="center"/>
        <w:rPr>
          <w:b/>
          <w:sz w:val="24"/>
        </w:rPr>
      </w:pPr>
    </w:p>
    <w:p w14:paraId="2C3075BC">
      <w:pPr>
        <w:spacing w:line="360" w:lineRule="auto"/>
        <w:ind w:firstLine="1446"/>
        <w:jc w:val="center"/>
        <w:rPr>
          <w:rFonts w:hint="eastAsia"/>
          <w:b/>
          <w:sz w:val="24"/>
        </w:rPr>
      </w:pPr>
      <w:bookmarkStart w:id="2" w:name="_Toc31242"/>
      <w:r>
        <w:rPr>
          <w:rFonts w:hint="eastAsia"/>
          <w:b/>
          <w:sz w:val="24"/>
        </w:rPr>
        <w:t>山东城市服务职业学院</w:t>
      </w:r>
      <w:bookmarkEnd w:id="2"/>
    </w:p>
    <w:p w14:paraId="065CA52E">
      <w:pPr>
        <w:spacing w:line="360" w:lineRule="auto"/>
        <w:ind w:firstLine="1446"/>
        <w:jc w:val="center"/>
        <w:rPr>
          <w:rFonts w:hint="eastAsia"/>
          <w:b/>
          <w:sz w:val="24"/>
        </w:rPr>
        <w:sectPr>
          <w:headerReference r:id="rId5" w:type="default"/>
          <w:footerReference r:id="rId6" w:type="even"/>
          <w:pgSz w:w="11906" w:h="16838"/>
          <w:pgMar w:top="1418" w:right="1418" w:bottom="1134"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b/>
          <w:sz w:val="24"/>
        </w:rPr>
        <w:t>202</w:t>
      </w:r>
      <w:r>
        <w:rPr>
          <w:rFonts w:hint="eastAsia"/>
          <w:b/>
          <w:sz w:val="24"/>
          <w:lang w:val="en-US" w:eastAsia="zh-CN"/>
        </w:rPr>
        <w:t>5</w:t>
      </w:r>
      <w:r>
        <w:rPr>
          <w:rFonts w:hint="eastAsia"/>
          <w:b/>
          <w:sz w:val="24"/>
        </w:rPr>
        <w:t>年</w:t>
      </w:r>
      <w:r>
        <w:rPr>
          <w:rFonts w:hint="eastAsia"/>
          <w:b/>
          <w:sz w:val="24"/>
          <w:lang w:val="en-US" w:eastAsia="zh-CN"/>
        </w:rPr>
        <w:t>5</w:t>
      </w:r>
      <w:r>
        <w:rPr>
          <w:rFonts w:hint="eastAsia"/>
          <w:b/>
          <w:sz w:val="24"/>
        </w:rPr>
        <w:t>月</w:t>
      </w:r>
      <w:bookmarkStart w:id="3" w:name="_Toc22504"/>
    </w:p>
    <w:bookmarkEnd w:id="3"/>
    <w:p w14:paraId="7A164244">
      <w:pPr>
        <w:keepNext w:val="0"/>
        <w:keepLines w:val="0"/>
        <w:pageBreakBefore w:val="0"/>
        <w:widowControl w:val="0"/>
        <w:tabs>
          <w:tab w:val="center" w:pos="4153"/>
        </w:tabs>
        <w:kinsoku/>
        <w:wordWrap/>
        <w:overflowPunct/>
        <w:topLinePunct w:val="0"/>
        <w:autoSpaceDE/>
        <w:autoSpaceDN/>
        <w:bidi w:val="0"/>
        <w:adjustRightInd w:val="0"/>
        <w:snapToGrid w:val="0"/>
        <w:spacing w:before="0" w:after="0" w:line="360" w:lineRule="auto"/>
        <w:ind w:firstLine="0" w:firstLineChars="0"/>
        <w:jc w:val="center"/>
        <w:textAlignment w:val="auto"/>
        <w:outlineLvl w:val="9"/>
        <w:rPr>
          <w:rFonts w:hint="eastAsia" w:ascii="Calibri" w:hAnsi="Calibri" w:eastAsia="宋体" w:cs="Calibri"/>
          <w:b/>
          <w:bCs/>
          <w:caps/>
          <w:kern w:val="2"/>
          <w:sz w:val="28"/>
          <w:szCs w:val="20"/>
          <w:lang w:val="en-US" w:eastAsia="zh-CN" w:bidi="ar-SA"/>
        </w:rPr>
      </w:pPr>
      <w:bookmarkStart w:id="4" w:name="_Toc5025"/>
      <w:r>
        <w:rPr>
          <w:rFonts w:hint="eastAsia" w:ascii="Calibri" w:hAnsi="Calibri" w:eastAsia="宋体" w:cs="Calibri"/>
          <w:b/>
          <w:bCs/>
          <w:caps/>
          <w:kern w:val="2"/>
          <w:sz w:val="28"/>
          <w:szCs w:val="20"/>
          <w:lang w:val="en-US" w:eastAsia="zh-CN" w:bidi="ar-SA"/>
        </w:rPr>
        <w:t>目  录</w:t>
      </w:r>
      <w:bookmarkEnd w:id="4"/>
      <w:bookmarkStart w:id="5" w:name="_Toc29390"/>
      <w:bookmarkStart w:id="6" w:name="_Toc3714"/>
    </w:p>
    <w:p w14:paraId="65BD5C32">
      <w:pPr>
        <w:pStyle w:val="18"/>
        <w:tabs>
          <w:tab w:val="right" w:leader="dot" w:pos="8850"/>
        </w:tabs>
      </w:pPr>
      <w:r>
        <w:rPr>
          <w:rFonts w:hint="eastAsia" w:ascii="Calibri" w:hAnsi="Calibri" w:eastAsia="宋体" w:cs="Calibri"/>
          <w:b/>
          <w:bCs/>
          <w:caps/>
          <w:kern w:val="2"/>
          <w:sz w:val="28"/>
          <w:szCs w:val="20"/>
          <w:lang w:val="en-US" w:eastAsia="zh-CN" w:bidi="ar-SA"/>
        </w:rPr>
        <w:fldChar w:fldCharType="begin"/>
      </w:r>
      <w:r>
        <w:rPr>
          <w:rFonts w:hint="eastAsia" w:ascii="Calibri" w:hAnsi="Calibri" w:eastAsia="宋体" w:cs="Calibri"/>
          <w:b/>
          <w:bCs/>
          <w:caps/>
          <w:kern w:val="2"/>
          <w:sz w:val="28"/>
          <w:szCs w:val="20"/>
          <w:lang w:val="en-US" w:eastAsia="zh-CN" w:bidi="ar-SA"/>
        </w:rPr>
        <w:instrText xml:space="preserve">TOC \o "1-2" \h \u </w:instrText>
      </w:r>
      <w:r>
        <w:rPr>
          <w:rFonts w:hint="eastAsia" w:ascii="Calibri" w:hAnsi="Calibri" w:eastAsia="宋体" w:cs="Calibri"/>
          <w:b/>
          <w:bCs/>
          <w:caps/>
          <w:kern w:val="2"/>
          <w:sz w:val="28"/>
          <w:szCs w:val="20"/>
          <w:lang w:val="en-US" w:eastAsia="zh-CN" w:bidi="ar-SA"/>
        </w:rPr>
        <w:fldChar w:fldCharType="separate"/>
      </w: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_Toc18652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rPr>
        <w:t>一、 专业名称及代码</w:t>
      </w:r>
      <w:r>
        <w:tab/>
      </w:r>
      <w:r>
        <w:fldChar w:fldCharType="begin"/>
      </w:r>
      <w:r>
        <w:instrText xml:space="preserve"> PAGEREF _Toc18652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0E4C06BA">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_Toc26738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二、</w:t>
      </w:r>
      <w:r>
        <w:rPr>
          <w:rFonts w:hint="eastAsia" w:asciiTheme="majorEastAsia" w:hAnsiTheme="majorEastAsia" w:eastAsiaTheme="majorEastAsia" w:cstheme="majorEastAsia"/>
          <w:bCs/>
          <w:szCs w:val="30"/>
        </w:rPr>
        <w:t>入学要求</w:t>
      </w:r>
      <w:r>
        <w:tab/>
      </w:r>
      <w:r>
        <w:fldChar w:fldCharType="begin"/>
      </w:r>
      <w:r>
        <w:instrText xml:space="preserve"> PAGEREF _Toc26738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1C2434F7">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_Toc15389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三、</w:t>
      </w:r>
      <w:r>
        <w:rPr>
          <w:rFonts w:hint="eastAsia" w:asciiTheme="majorEastAsia" w:hAnsiTheme="majorEastAsia" w:eastAsiaTheme="majorEastAsia" w:cstheme="majorEastAsia"/>
          <w:bCs/>
          <w:szCs w:val="30"/>
        </w:rPr>
        <w:t>修业年限</w:t>
      </w:r>
      <w:r>
        <w:tab/>
      </w:r>
      <w:r>
        <w:fldChar w:fldCharType="begin"/>
      </w:r>
      <w:r>
        <w:instrText xml:space="preserve"> PAGEREF _Toc15389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3A957EEE">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_Toc5637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kern w:val="44"/>
          <w:szCs w:val="30"/>
          <w:lang w:val="en-US" w:eastAsia="zh-CN" w:bidi="ar-SA"/>
        </w:rPr>
        <w:t>四、</w:t>
      </w:r>
      <w:r>
        <w:rPr>
          <w:rFonts w:hint="eastAsia" w:asciiTheme="majorEastAsia" w:hAnsiTheme="majorEastAsia" w:eastAsiaTheme="majorEastAsia" w:cstheme="majorEastAsia"/>
          <w:bCs/>
          <w:szCs w:val="30"/>
        </w:rPr>
        <w:t>职业面向</w:t>
      </w:r>
      <w:r>
        <w:tab/>
      </w:r>
      <w:r>
        <w:fldChar w:fldCharType="begin"/>
      </w:r>
      <w:r>
        <w:instrText xml:space="preserve"> PAGEREF _Toc5637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174DF76D">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_Toc1283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五、</w:t>
      </w:r>
      <w:r>
        <w:rPr>
          <w:rFonts w:hint="eastAsia" w:asciiTheme="majorEastAsia" w:hAnsiTheme="majorEastAsia" w:eastAsiaTheme="majorEastAsia" w:cstheme="majorEastAsia"/>
          <w:bCs/>
          <w:szCs w:val="30"/>
        </w:rPr>
        <w:t>培养目标与培养规格</w:t>
      </w:r>
      <w:r>
        <w:tab/>
      </w:r>
      <w:r>
        <w:fldChar w:fldCharType="begin"/>
      </w:r>
      <w:r>
        <w:instrText xml:space="preserve"> PAGEREF _Toc1283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165761CD">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_Toc3986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（一）培养目标</w:t>
      </w:r>
      <w:r>
        <w:tab/>
      </w:r>
      <w:r>
        <w:fldChar w:fldCharType="begin"/>
      </w:r>
      <w:r>
        <w:instrText xml:space="preserve"> PAGEREF _Toc3986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7A90EE92">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_Toc16442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（二）培养规格</w:t>
      </w:r>
      <w:r>
        <w:tab/>
      </w:r>
      <w:r>
        <w:fldChar w:fldCharType="begin"/>
      </w:r>
      <w:r>
        <w:instrText xml:space="preserve"> PAGEREF _Toc16442 \h </w:instrText>
      </w:r>
      <w:r>
        <w:fldChar w:fldCharType="separate"/>
      </w:r>
      <w:r>
        <w:t>2</w:t>
      </w:r>
      <w:r>
        <w:fldChar w:fldCharType="end"/>
      </w:r>
      <w:r>
        <w:rPr>
          <w:rFonts w:hint="eastAsia" w:ascii="Calibri" w:hAnsi="Calibri" w:eastAsia="宋体" w:cs="Calibri"/>
          <w:bCs/>
          <w:caps/>
          <w:kern w:val="2"/>
          <w:szCs w:val="20"/>
          <w:lang w:val="en-US" w:eastAsia="zh-CN" w:bidi="ar-SA"/>
        </w:rPr>
        <w:fldChar w:fldCharType="end"/>
      </w:r>
    </w:p>
    <w:p w14:paraId="0C983BCB">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_Toc30836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六、培养模式</w:t>
      </w:r>
      <w:r>
        <w:tab/>
      </w:r>
      <w:r>
        <w:fldChar w:fldCharType="begin"/>
      </w:r>
      <w:r>
        <w:instrText xml:space="preserve"> PAGEREF _Toc30836 \h </w:instrText>
      </w:r>
      <w:r>
        <w:fldChar w:fldCharType="separate"/>
      </w:r>
      <w:r>
        <w:t>3</w:t>
      </w:r>
      <w:r>
        <w:fldChar w:fldCharType="end"/>
      </w:r>
      <w:r>
        <w:rPr>
          <w:rFonts w:hint="eastAsia" w:ascii="Calibri" w:hAnsi="Calibri" w:eastAsia="宋体" w:cs="Calibri"/>
          <w:bCs/>
          <w:caps/>
          <w:kern w:val="2"/>
          <w:szCs w:val="20"/>
          <w:lang w:val="en-US" w:eastAsia="zh-CN" w:bidi="ar-SA"/>
        </w:rPr>
        <w:fldChar w:fldCharType="end"/>
      </w:r>
    </w:p>
    <w:p w14:paraId="3BDB3073">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_Toc32676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w:t>
      </w:r>
      <w:r>
        <w:rPr>
          <w:rFonts w:hint="default" w:asciiTheme="minorEastAsia" w:hAnsiTheme="minorEastAsia" w:eastAsiaTheme="minorEastAsia" w:cstheme="minorEastAsia"/>
          <w:szCs w:val="28"/>
          <w:lang w:val="en-US" w:eastAsia="zh-CN"/>
        </w:rPr>
        <w:t>指导思想​</w:t>
      </w:r>
      <w:r>
        <w:tab/>
      </w:r>
      <w:r>
        <w:fldChar w:fldCharType="begin"/>
      </w:r>
      <w:r>
        <w:instrText xml:space="preserve"> PAGEREF _Toc32676 \h </w:instrText>
      </w:r>
      <w:r>
        <w:fldChar w:fldCharType="separate"/>
      </w:r>
      <w:r>
        <w:t>3</w:t>
      </w:r>
      <w:r>
        <w:fldChar w:fldCharType="end"/>
      </w:r>
      <w:r>
        <w:rPr>
          <w:rFonts w:hint="eastAsia" w:ascii="Calibri" w:hAnsi="Calibri" w:eastAsia="宋体" w:cs="Calibri"/>
          <w:bCs/>
          <w:caps/>
          <w:kern w:val="2"/>
          <w:szCs w:val="20"/>
          <w:lang w:val="en-US" w:eastAsia="zh-CN" w:bidi="ar-SA"/>
        </w:rPr>
        <w:fldChar w:fldCharType="end"/>
      </w:r>
    </w:p>
    <w:p w14:paraId="0E195F35">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_Toc28458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w:t>
      </w:r>
      <w:r>
        <w:rPr>
          <w:rFonts w:hint="default" w:asciiTheme="minorEastAsia" w:hAnsiTheme="minorEastAsia" w:eastAsiaTheme="minorEastAsia" w:cstheme="minorEastAsia"/>
          <w:szCs w:val="28"/>
          <w:lang w:val="en-US" w:eastAsia="zh-CN"/>
        </w:rPr>
        <w:t>人才培养目标​</w:t>
      </w:r>
      <w:r>
        <w:tab/>
      </w:r>
      <w:r>
        <w:fldChar w:fldCharType="begin"/>
      </w:r>
      <w:r>
        <w:instrText xml:space="preserve"> PAGEREF _Toc28458 \h </w:instrText>
      </w:r>
      <w:r>
        <w:fldChar w:fldCharType="separate"/>
      </w:r>
      <w:r>
        <w:t>4</w:t>
      </w:r>
      <w:r>
        <w:fldChar w:fldCharType="end"/>
      </w:r>
      <w:r>
        <w:rPr>
          <w:rFonts w:hint="eastAsia" w:ascii="Calibri" w:hAnsi="Calibri" w:eastAsia="宋体" w:cs="Calibri"/>
          <w:bCs/>
          <w:caps/>
          <w:kern w:val="2"/>
          <w:szCs w:val="20"/>
          <w:lang w:val="en-US" w:eastAsia="zh-CN" w:bidi="ar-SA"/>
        </w:rPr>
        <w:fldChar w:fldCharType="end"/>
      </w:r>
    </w:p>
    <w:p w14:paraId="71BDF9B5">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_Toc4929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w:t>
      </w:r>
      <w:r>
        <w:rPr>
          <w:rFonts w:hint="default" w:asciiTheme="minorEastAsia" w:hAnsiTheme="minorEastAsia" w:eastAsiaTheme="minorEastAsia" w:cstheme="minorEastAsia"/>
          <w:szCs w:val="28"/>
          <w:lang w:val="en-US" w:eastAsia="zh-CN"/>
        </w:rPr>
        <w:t>阶段递进式培养体系</w:t>
      </w:r>
      <w:r>
        <w:tab/>
      </w:r>
      <w:r>
        <w:fldChar w:fldCharType="begin"/>
      </w:r>
      <w:r>
        <w:instrText xml:space="preserve"> PAGEREF _Toc4929 \h </w:instrText>
      </w:r>
      <w:r>
        <w:fldChar w:fldCharType="separate"/>
      </w:r>
      <w:r>
        <w:t>4</w:t>
      </w:r>
      <w:r>
        <w:fldChar w:fldCharType="end"/>
      </w:r>
      <w:r>
        <w:rPr>
          <w:rFonts w:hint="eastAsia" w:ascii="Calibri" w:hAnsi="Calibri" w:eastAsia="宋体" w:cs="Calibri"/>
          <w:bCs/>
          <w:caps/>
          <w:kern w:val="2"/>
          <w:szCs w:val="20"/>
          <w:lang w:val="en-US" w:eastAsia="zh-CN" w:bidi="ar-SA"/>
        </w:rPr>
        <w:fldChar w:fldCharType="end"/>
      </w:r>
    </w:p>
    <w:p w14:paraId="709558DC">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_Toc2355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w:t>
      </w:r>
      <w:r>
        <w:rPr>
          <w:rFonts w:hint="default" w:asciiTheme="minorEastAsia" w:hAnsiTheme="minorEastAsia" w:eastAsiaTheme="minorEastAsia" w:cstheme="minorEastAsia"/>
          <w:szCs w:val="28"/>
          <w:lang w:val="en-US" w:eastAsia="zh-CN"/>
        </w:rPr>
        <w:t>双主体协同育人机制</w:t>
      </w:r>
      <w:r>
        <w:tab/>
      </w:r>
      <w:r>
        <w:fldChar w:fldCharType="begin"/>
      </w:r>
      <w:r>
        <w:instrText xml:space="preserve"> PAGEREF _Toc2355 \h </w:instrText>
      </w:r>
      <w:r>
        <w:fldChar w:fldCharType="separate"/>
      </w:r>
      <w:r>
        <w:t>5</w:t>
      </w:r>
      <w:r>
        <w:fldChar w:fldCharType="end"/>
      </w:r>
      <w:r>
        <w:rPr>
          <w:rFonts w:hint="eastAsia" w:ascii="Calibri" w:hAnsi="Calibri" w:eastAsia="宋体" w:cs="Calibri"/>
          <w:bCs/>
          <w:caps/>
          <w:kern w:val="2"/>
          <w:szCs w:val="20"/>
          <w:lang w:val="en-US" w:eastAsia="zh-CN" w:bidi="ar-SA"/>
        </w:rPr>
        <w:fldChar w:fldCharType="end"/>
      </w:r>
    </w:p>
    <w:p w14:paraId="39CC2B50">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_Toc4652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（五）</w:t>
      </w:r>
      <w:r>
        <w:rPr>
          <w:rFonts w:hint="default" w:asciiTheme="minorEastAsia" w:hAnsiTheme="minorEastAsia" w:eastAsiaTheme="minorEastAsia" w:cstheme="minorEastAsia"/>
          <w:szCs w:val="28"/>
          <w:lang w:val="en-US" w:eastAsia="zh-CN"/>
        </w:rPr>
        <w:t>多平台支撑保障</w:t>
      </w:r>
      <w:r>
        <w:tab/>
      </w:r>
      <w:r>
        <w:fldChar w:fldCharType="begin"/>
      </w:r>
      <w:r>
        <w:instrText xml:space="preserve"> PAGEREF _Toc4652 \h </w:instrText>
      </w:r>
      <w:r>
        <w:fldChar w:fldCharType="separate"/>
      </w:r>
      <w:r>
        <w:t>5</w:t>
      </w:r>
      <w:r>
        <w:fldChar w:fldCharType="end"/>
      </w:r>
      <w:r>
        <w:rPr>
          <w:rFonts w:hint="eastAsia" w:ascii="Calibri" w:hAnsi="Calibri" w:eastAsia="宋体" w:cs="Calibri"/>
          <w:bCs/>
          <w:caps/>
          <w:kern w:val="2"/>
          <w:szCs w:val="20"/>
          <w:lang w:val="en-US" w:eastAsia="zh-CN" w:bidi="ar-SA"/>
        </w:rPr>
        <w:fldChar w:fldCharType="end"/>
      </w:r>
    </w:p>
    <w:p w14:paraId="4AA43EE4">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_Toc17028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（六）</w:t>
      </w:r>
      <w:r>
        <w:rPr>
          <w:rFonts w:hint="default" w:asciiTheme="minorEastAsia" w:hAnsiTheme="minorEastAsia" w:eastAsiaTheme="minorEastAsia" w:cstheme="minorEastAsia"/>
          <w:szCs w:val="28"/>
          <w:lang w:val="en-US" w:eastAsia="zh-CN"/>
        </w:rPr>
        <w:t>质量评价与持续改进​</w:t>
      </w:r>
      <w:r>
        <w:tab/>
      </w:r>
      <w:r>
        <w:fldChar w:fldCharType="begin"/>
      </w:r>
      <w:r>
        <w:instrText xml:space="preserve"> PAGEREF _Toc17028 \h </w:instrText>
      </w:r>
      <w:r>
        <w:fldChar w:fldCharType="separate"/>
      </w:r>
      <w:r>
        <w:t>5</w:t>
      </w:r>
      <w:r>
        <w:fldChar w:fldCharType="end"/>
      </w:r>
      <w:r>
        <w:rPr>
          <w:rFonts w:hint="eastAsia" w:ascii="Calibri" w:hAnsi="Calibri" w:eastAsia="宋体" w:cs="Calibri"/>
          <w:bCs/>
          <w:caps/>
          <w:kern w:val="2"/>
          <w:szCs w:val="20"/>
          <w:lang w:val="en-US" w:eastAsia="zh-CN" w:bidi="ar-SA"/>
        </w:rPr>
        <w:fldChar w:fldCharType="end"/>
      </w:r>
    </w:p>
    <w:p w14:paraId="59AC4F9D">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_Toc27811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七、课程设置及要求</w:t>
      </w:r>
      <w:r>
        <w:tab/>
      </w:r>
      <w:r>
        <w:fldChar w:fldCharType="begin"/>
      </w:r>
      <w:r>
        <w:instrText xml:space="preserve"> PAGEREF _Toc27811 \h </w:instrText>
      </w:r>
      <w:r>
        <w:fldChar w:fldCharType="separate"/>
      </w:r>
      <w:r>
        <w:t>6</w:t>
      </w:r>
      <w:r>
        <w:fldChar w:fldCharType="end"/>
      </w:r>
      <w:r>
        <w:rPr>
          <w:rFonts w:hint="eastAsia" w:ascii="Calibri" w:hAnsi="Calibri" w:eastAsia="宋体" w:cs="Calibri"/>
          <w:bCs/>
          <w:caps/>
          <w:kern w:val="2"/>
          <w:szCs w:val="20"/>
          <w:lang w:val="en-US" w:eastAsia="zh-CN" w:bidi="ar-SA"/>
        </w:rPr>
        <w:fldChar w:fldCharType="end"/>
      </w:r>
    </w:p>
    <w:p w14:paraId="02D77EFE">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_Toc9726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highlight w:val="none"/>
          <w:lang w:val="en-US" w:eastAsia="zh-CN"/>
        </w:rPr>
        <w:t>（一）课程体系构建思路</w:t>
      </w:r>
      <w:r>
        <w:tab/>
      </w:r>
      <w:r>
        <w:fldChar w:fldCharType="begin"/>
      </w:r>
      <w:r>
        <w:instrText xml:space="preserve"> PAGEREF _Toc9726 \h </w:instrText>
      </w:r>
      <w:r>
        <w:fldChar w:fldCharType="separate"/>
      </w:r>
      <w:r>
        <w:t>6</w:t>
      </w:r>
      <w:r>
        <w:fldChar w:fldCharType="end"/>
      </w:r>
      <w:r>
        <w:rPr>
          <w:rFonts w:hint="eastAsia" w:ascii="Calibri" w:hAnsi="Calibri" w:eastAsia="宋体" w:cs="Calibri"/>
          <w:bCs/>
          <w:caps/>
          <w:kern w:val="2"/>
          <w:szCs w:val="20"/>
          <w:lang w:val="en-US" w:eastAsia="zh-CN" w:bidi="ar-SA"/>
        </w:rPr>
        <w:fldChar w:fldCharType="end"/>
      </w:r>
    </w:p>
    <w:p w14:paraId="0117D77B">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_Toc22329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（二）课程体系架构</w:t>
      </w:r>
      <w:r>
        <w:tab/>
      </w:r>
      <w:r>
        <w:fldChar w:fldCharType="begin"/>
      </w:r>
      <w:r>
        <w:instrText xml:space="preserve"> PAGEREF _Toc22329 \h </w:instrText>
      </w:r>
      <w:r>
        <w:fldChar w:fldCharType="separate"/>
      </w:r>
      <w:r>
        <w:t>7</w:t>
      </w:r>
      <w:r>
        <w:fldChar w:fldCharType="end"/>
      </w:r>
      <w:r>
        <w:rPr>
          <w:rFonts w:hint="eastAsia" w:ascii="Calibri" w:hAnsi="Calibri" w:eastAsia="宋体" w:cs="Calibri"/>
          <w:bCs/>
          <w:caps/>
          <w:kern w:val="2"/>
          <w:szCs w:val="20"/>
          <w:lang w:val="en-US" w:eastAsia="zh-CN" w:bidi="ar-SA"/>
        </w:rPr>
        <w:fldChar w:fldCharType="end"/>
      </w:r>
    </w:p>
    <w:p w14:paraId="19F4D344">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_Toc24145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（三）公共基础课程</w:t>
      </w:r>
      <w:r>
        <w:tab/>
      </w:r>
      <w:r>
        <w:fldChar w:fldCharType="begin"/>
      </w:r>
      <w:r>
        <w:instrText xml:space="preserve"> PAGEREF _Toc24145 \h </w:instrText>
      </w:r>
      <w:r>
        <w:fldChar w:fldCharType="separate"/>
      </w:r>
      <w:r>
        <w:t>8</w:t>
      </w:r>
      <w:r>
        <w:fldChar w:fldCharType="end"/>
      </w:r>
      <w:r>
        <w:rPr>
          <w:rFonts w:hint="eastAsia" w:ascii="Calibri" w:hAnsi="Calibri" w:eastAsia="宋体" w:cs="Calibri"/>
          <w:bCs/>
          <w:caps/>
          <w:kern w:val="2"/>
          <w:szCs w:val="20"/>
          <w:lang w:val="en-US" w:eastAsia="zh-CN" w:bidi="ar-SA"/>
        </w:rPr>
        <w:fldChar w:fldCharType="end"/>
      </w:r>
    </w:p>
    <w:p w14:paraId="457C2D28">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_Toc8351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（四）专业（技能）课程</w:t>
      </w:r>
      <w:r>
        <w:tab/>
      </w:r>
      <w:r>
        <w:fldChar w:fldCharType="begin"/>
      </w:r>
      <w:r>
        <w:instrText xml:space="preserve"> PAGEREF _Toc8351 \h </w:instrText>
      </w:r>
      <w:r>
        <w:fldChar w:fldCharType="separate"/>
      </w:r>
      <w:r>
        <w:t>10</w:t>
      </w:r>
      <w:r>
        <w:fldChar w:fldCharType="end"/>
      </w:r>
      <w:r>
        <w:rPr>
          <w:rFonts w:hint="eastAsia" w:ascii="Calibri" w:hAnsi="Calibri" w:eastAsia="宋体" w:cs="Calibri"/>
          <w:bCs/>
          <w:caps/>
          <w:kern w:val="2"/>
          <w:szCs w:val="20"/>
          <w:lang w:val="en-US" w:eastAsia="zh-CN" w:bidi="ar-SA"/>
        </w:rPr>
        <w:fldChar w:fldCharType="end"/>
      </w:r>
    </w:p>
    <w:p w14:paraId="5BD677EF">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_Toc6951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（五）专业核心课程描述</w:t>
      </w:r>
      <w:r>
        <w:tab/>
      </w:r>
      <w:r>
        <w:fldChar w:fldCharType="begin"/>
      </w:r>
      <w:r>
        <w:instrText xml:space="preserve"> PAGEREF _Toc6951 \h </w:instrText>
      </w:r>
      <w:r>
        <w:fldChar w:fldCharType="separate"/>
      </w:r>
      <w:r>
        <w:t>13</w:t>
      </w:r>
      <w:r>
        <w:fldChar w:fldCharType="end"/>
      </w:r>
      <w:r>
        <w:rPr>
          <w:rFonts w:hint="eastAsia" w:ascii="Calibri" w:hAnsi="Calibri" w:eastAsia="宋体" w:cs="Calibri"/>
          <w:bCs/>
          <w:caps/>
          <w:kern w:val="2"/>
          <w:szCs w:val="20"/>
          <w:lang w:val="en-US" w:eastAsia="zh-CN" w:bidi="ar-SA"/>
        </w:rPr>
        <w:fldChar w:fldCharType="end"/>
      </w:r>
    </w:p>
    <w:p w14:paraId="6491BD44">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_Toc20132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（六）素质拓展课程</w:t>
      </w:r>
      <w:r>
        <w:tab/>
      </w:r>
      <w:r>
        <w:fldChar w:fldCharType="begin"/>
      </w:r>
      <w:r>
        <w:instrText xml:space="preserve"> PAGEREF _Toc20132 \h </w:instrText>
      </w:r>
      <w:r>
        <w:fldChar w:fldCharType="separate"/>
      </w:r>
      <w:r>
        <w:t>17</w:t>
      </w:r>
      <w:r>
        <w:fldChar w:fldCharType="end"/>
      </w:r>
      <w:r>
        <w:rPr>
          <w:rFonts w:hint="eastAsia" w:ascii="Calibri" w:hAnsi="Calibri" w:eastAsia="宋体" w:cs="Calibri"/>
          <w:bCs/>
          <w:caps/>
          <w:kern w:val="2"/>
          <w:szCs w:val="20"/>
          <w:lang w:val="en-US" w:eastAsia="zh-CN" w:bidi="ar-SA"/>
        </w:rPr>
        <w:fldChar w:fldCharType="end"/>
      </w:r>
    </w:p>
    <w:p w14:paraId="35ED9223">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_Toc21658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八、学时安排</w:t>
      </w:r>
      <w:r>
        <w:tab/>
      </w:r>
      <w:r>
        <w:fldChar w:fldCharType="begin"/>
      </w:r>
      <w:r>
        <w:instrText xml:space="preserve"> PAGEREF _Toc21658 \h </w:instrText>
      </w:r>
      <w:r>
        <w:fldChar w:fldCharType="separate"/>
      </w:r>
      <w:r>
        <w:t>17</w:t>
      </w:r>
      <w:r>
        <w:fldChar w:fldCharType="end"/>
      </w:r>
      <w:r>
        <w:rPr>
          <w:rFonts w:hint="eastAsia" w:ascii="Calibri" w:hAnsi="Calibri" w:eastAsia="宋体" w:cs="Calibri"/>
          <w:bCs/>
          <w:caps/>
          <w:kern w:val="2"/>
          <w:szCs w:val="20"/>
          <w:lang w:val="en-US" w:eastAsia="zh-CN" w:bidi="ar-SA"/>
        </w:rPr>
        <w:fldChar w:fldCharType="end"/>
      </w:r>
    </w:p>
    <w:p w14:paraId="7DE0D3CD">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_Toc1125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九、教学进程总体安排</w:t>
      </w:r>
      <w:r>
        <w:tab/>
      </w:r>
      <w:r>
        <w:fldChar w:fldCharType="begin"/>
      </w:r>
      <w:r>
        <w:instrText xml:space="preserve"> PAGEREF _Toc1125 \h </w:instrText>
      </w:r>
      <w:r>
        <w:fldChar w:fldCharType="separate"/>
      </w:r>
      <w:r>
        <w:t>18</w:t>
      </w:r>
      <w:r>
        <w:fldChar w:fldCharType="end"/>
      </w:r>
      <w:r>
        <w:rPr>
          <w:rFonts w:hint="eastAsia" w:ascii="Calibri" w:hAnsi="Calibri" w:eastAsia="宋体" w:cs="Calibri"/>
          <w:bCs/>
          <w:caps/>
          <w:kern w:val="2"/>
          <w:szCs w:val="20"/>
          <w:lang w:val="en-US" w:eastAsia="zh-CN" w:bidi="ar-SA"/>
        </w:rPr>
        <w:fldChar w:fldCharType="end"/>
      </w:r>
    </w:p>
    <w:p w14:paraId="4AB2A1F8">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_Toc1839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（一）课程设置及教学计划表</w:t>
      </w:r>
      <w:r>
        <w:tab/>
      </w:r>
      <w:r>
        <w:fldChar w:fldCharType="begin"/>
      </w:r>
      <w:r>
        <w:instrText xml:space="preserve"> PAGEREF _Toc1839 \h </w:instrText>
      </w:r>
      <w:r>
        <w:fldChar w:fldCharType="separate"/>
      </w:r>
      <w:r>
        <w:t>19</w:t>
      </w:r>
      <w:r>
        <w:fldChar w:fldCharType="end"/>
      </w:r>
      <w:r>
        <w:rPr>
          <w:rFonts w:hint="eastAsia" w:ascii="Calibri" w:hAnsi="Calibri" w:eastAsia="宋体" w:cs="Calibri"/>
          <w:bCs/>
          <w:caps/>
          <w:kern w:val="2"/>
          <w:szCs w:val="20"/>
          <w:lang w:val="en-US" w:eastAsia="zh-CN" w:bidi="ar-SA"/>
        </w:rPr>
        <w:fldChar w:fldCharType="end"/>
      </w:r>
    </w:p>
    <w:p w14:paraId="7F1C3417">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_Toc703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（二）实践教学计划表</w:t>
      </w:r>
      <w:r>
        <w:tab/>
      </w:r>
      <w:r>
        <w:fldChar w:fldCharType="begin"/>
      </w:r>
      <w:r>
        <w:instrText xml:space="preserve"> PAGEREF _Toc703 \h </w:instrText>
      </w:r>
      <w:r>
        <w:fldChar w:fldCharType="separate"/>
      </w:r>
      <w:r>
        <w:t>23</w:t>
      </w:r>
      <w:r>
        <w:fldChar w:fldCharType="end"/>
      </w:r>
      <w:r>
        <w:rPr>
          <w:rFonts w:hint="eastAsia" w:ascii="Calibri" w:hAnsi="Calibri" w:eastAsia="宋体" w:cs="Calibri"/>
          <w:bCs/>
          <w:caps/>
          <w:kern w:val="2"/>
          <w:szCs w:val="20"/>
          <w:lang w:val="en-US" w:eastAsia="zh-CN" w:bidi="ar-SA"/>
        </w:rPr>
        <w:fldChar w:fldCharType="end"/>
      </w:r>
    </w:p>
    <w:p w14:paraId="7665C3DB">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_Toc5369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（三）综合实训活动安排表</w:t>
      </w:r>
      <w:r>
        <w:tab/>
      </w:r>
      <w:r>
        <w:fldChar w:fldCharType="begin"/>
      </w:r>
      <w:r>
        <w:instrText xml:space="preserve"> PAGEREF _Toc5369 \h </w:instrText>
      </w:r>
      <w:r>
        <w:fldChar w:fldCharType="separate"/>
      </w:r>
      <w:r>
        <w:t>25</w:t>
      </w:r>
      <w:r>
        <w:fldChar w:fldCharType="end"/>
      </w:r>
      <w:r>
        <w:rPr>
          <w:rFonts w:hint="eastAsia" w:ascii="Calibri" w:hAnsi="Calibri" w:eastAsia="宋体" w:cs="Calibri"/>
          <w:bCs/>
          <w:caps/>
          <w:kern w:val="2"/>
          <w:szCs w:val="20"/>
          <w:lang w:val="en-US" w:eastAsia="zh-CN" w:bidi="ar-SA"/>
        </w:rPr>
        <w:fldChar w:fldCharType="end"/>
      </w:r>
    </w:p>
    <w:p w14:paraId="4A7A20C9">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_Toc23932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（四）岗位实习活动安排表</w:t>
      </w:r>
      <w:r>
        <w:tab/>
      </w:r>
      <w:r>
        <w:fldChar w:fldCharType="begin"/>
      </w:r>
      <w:r>
        <w:instrText xml:space="preserve"> PAGEREF _Toc23932 \h </w:instrText>
      </w:r>
      <w:r>
        <w:fldChar w:fldCharType="separate"/>
      </w:r>
      <w:r>
        <w:t>26</w:t>
      </w:r>
      <w:r>
        <w:fldChar w:fldCharType="end"/>
      </w:r>
      <w:r>
        <w:rPr>
          <w:rFonts w:hint="eastAsia" w:ascii="Calibri" w:hAnsi="Calibri" w:eastAsia="宋体" w:cs="Calibri"/>
          <w:bCs/>
          <w:caps/>
          <w:kern w:val="2"/>
          <w:szCs w:val="20"/>
          <w:lang w:val="en-US" w:eastAsia="zh-CN" w:bidi="ar-SA"/>
        </w:rPr>
        <w:fldChar w:fldCharType="end"/>
      </w:r>
    </w:p>
    <w:p w14:paraId="0268F9F4">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_Toc7315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十、实施保障</w:t>
      </w:r>
      <w:r>
        <w:tab/>
      </w:r>
      <w:r>
        <w:fldChar w:fldCharType="begin"/>
      </w:r>
      <w:r>
        <w:instrText xml:space="preserve"> PAGEREF _Toc7315 \h </w:instrText>
      </w:r>
      <w:r>
        <w:fldChar w:fldCharType="separate"/>
      </w:r>
      <w:r>
        <w:t>27</w:t>
      </w:r>
      <w:r>
        <w:fldChar w:fldCharType="end"/>
      </w:r>
      <w:r>
        <w:rPr>
          <w:rFonts w:hint="eastAsia" w:ascii="Calibri" w:hAnsi="Calibri" w:eastAsia="宋体" w:cs="Calibri"/>
          <w:bCs/>
          <w:caps/>
          <w:kern w:val="2"/>
          <w:szCs w:val="20"/>
          <w:lang w:val="en-US" w:eastAsia="zh-CN" w:bidi="ar-SA"/>
        </w:rPr>
        <w:fldChar w:fldCharType="end"/>
      </w:r>
    </w:p>
    <w:p w14:paraId="13A467F5">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_Toc4827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（一）师资队伍</w:t>
      </w:r>
      <w:r>
        <w:tab/>
      </w:r>
      <w:r>
        <w:fldChar w:fldCharType="begin"/>
      </w:r>
      <w:r>
        <w:instrText xml:space="preserve"> PAGEREF _Toc4827 \h </w:instrText>
      </w:r>
      <w:r>
        <w:fldChar w:fldCharType="separate"/>
      </w:r>
      <w:r>
        <w:t>27</w:t>
      </w:r>
      <w:r>
        <w:fldChar w:fldCharType="end"/>
      </w:r>
      <w:r>
        <w:rPr>
          <w:rFonts w:hint="eastAsia" w:ascii="Calibri" w:hAnsi="Calibri" w:eastAsia="宋体" w:cs="Calibri"/>
          <w:bCs/>
          <w:caps/>
          <w:kern w:val="2"/>
          <w:szCs w:val="20"/>
          <w:lang w:val="en-US" w:eastAsia="zh-CN" w:bidi="ar-SA"/>
        </w:rPr>
        <w:fldChar w:fldCharType="end"/>
      </w:r>
    </w:p>
    <w:p w14:paraId="058B454C">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_Toc23816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（二）教学设施</w:t>
      </w:r>
      <w:r>
        <w:tab/>
      </w:r>
      <w:r>
        <w:fldChar w:fldCharType="begin"/>
      </w:r>
      <w:r>
        <w:instrText xml:space="preserve"> PAGEREF _Toc23816 \h </w:instrText>
      </w:r>
      <w:r>
        <w:fldChar w:fldCharType="separate"/>
      </w:r>
      <w:r>
        <w:t>28</w:t>
      </w:r>
      <w:r>
        <w:fldChar w:fldCharType="end"/>
      </w:r>
      <w:r>
        <w:rPr>
          <w:rFonts w:hint="eastAsia" w:ascii="Calibri" w:hAnsi="Calibri" w:eastAsia="宋体" w:cs="Calibri"/>
          <w:bCs/>
          <w:caps/>
          <w:kern w:val="2"/>
          <w:szCs w:val="20"/>
          <w:lang w:val="en-US" w:eastAsia="zh-CN" w:bidi="ar-SA"/>
        </w:rPr>
        <w:fldChar w:fldCharType="end"/>
      </w:r>
    </w:p>
    <w:p w14:paraId="6DB1AE23">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_Toc24673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（三）教学资源</w:t>
      </w:r>
      <w:r>
        <w:tab/>
      </w:r>
      <w:r>
        <w:fldChar w:fldCharType="begin"/>
      </w:r>
      <w:r>
        <w:instrText xml:space="preserve"> PAGEREF _Toc24673 \h </w:instrText>
      </w:r>
      <w:r>
        <w:fldChar w:fldCharType="separate"/>
      </w:r>
      <w:r>
        <w:t>29</w:t>
      </w:r>
      <w:r>
        <w:fldChar w:fldCharType="end"/>
      </w:r>
      <w:r>
        <w:rPr>
          <w:rFonts w:hint="eastAsia" w:ascii="Calibri" w:hAnsi="Calibri" w:eastAsia="宋体" w:cs="Calibri"/>
          <w:bCs/>
          <w:caps/>
          <w:kern w:val="2"/>
          <w:szCs w:val="20"/>
          <w:lang w:val="en-US" w:eastAsia="zh-CN" w:bidi="ar-SA"/>
        </w:rPr>
        <w:fldChar w:fldCharType="end"/>
      </w:r>
    </w:p>
    <w:p w14:paraId="0AF8E2B1">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_Toc13800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（四）教学方法</w:t>
      </w:r>
      <w:r>
        <w:tab/>
      </w:r>
      <w:r>
        <w:fldChar w:fldCharType="begin"/>
      </w:r>
      <w:r>
        <w:instrText xml:space="preserve"> PAGEREF _Toc13800 \h </w:instrText>
      </w:r>
      <w:r>
        <w:fldChar w:fldCharType="separate"/>
      </w:r>
      <w:r>
        <w:t>30</w:t>
      </w:r>
      <w:r>
        <w:fldChar w:fldCharType="end"/>
      </w:r>
      <w:r>
        <w:rPr>
          <w:rFonts w:hint="eastAsia" w:ascii="Calibri" w:hAnsi="Calibri" w:eastAsia="宋体" w:cs="Calibri"/>
          <w:bCs/>
          <w:caps/>
          <w:kern w:val="2"/>
          <w:szCs w:val="20"/>
          <w:lang w:val="en-US" w:eastAsia="zh-CN" w:bidi="ar-SA"/>
        </w:rPr>
        <w:fldChar w:fldCharType="end"/>
      </w:r>
    </w:p>
    <w:p w14:paraId="5C1A4050">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_Toc18190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（五）学习评价</w:t>
      </w:r>
      <w:r>
        <w:tab/>
      </w:r>
      <w:r>
        <w:fldChar w:fldCharType="begin"/>
      </w:r>
      <w:r>
        <w:instrText xml:space="preserve"> PAGEREF _Toc18190 \h </w:instrText>
      </w:r>
      <w:r>
        <w:fldChar w:fldCharType="separate"/>
      </w:r>
      <w:r>
        <w:t>30</w:t>
      </w:r>
      <w:r>
        <w:fldChar w:fldCharType="end"/>
      </w:r>
      <w:r>
        <w:rPr>
          <w:rFonts w:hint="eastAsia" w:ascii="Calibri" w:hAnsi="Calibri" w:eastAsia="宋体" w:cs="Calibri"/>
          <w:bCs/>
          <w:caps/>
          <w:kern w:val="2"/>
          <w:szCs w:val="20"/>
          <w:lang w:val="en-US" w:eastAsia="zh-CN" w:bidi="ar-SA"/>
        </w:rPr>
        <w:fldChar w:fldCharType="end"/>
      </w:r>
    </w:p>
    <w:p w14:paraId="3BAD8DFF">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_Toc3354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（六）质量管理</w:t>
      </w:r>
      <w:r>
        <w:tab/>
      </w:r>
      <w:r>
        <w:fldChar w:fldCharType="begin"/>
      </w:r>
      <w:r>
        <w:instrText xml:space="preserve"> PAGEREF _Toc3354 \h </w:instrText>
      </w:r>
      <w:r>
        <w:fldChar w:fldCharType="separate"/>
      </w:r>
      <w:r>
        <w:t>31</w:t>
      </w:r>
      <w:r>
        <w:fldChar w:fldCharType="end"/>
      </w:r>
      <w:r>
        <w:rPr>
          <w:rFonts w:hint="eastAsia" w:ascii="Calibri" w:hAnsi="Calibri" w:eastAsia="宋体" w:cs="Calibri"/>
          <w:bCs/>
          <w:caps/>
          <w:kern w:val="2"/>
          <w:szCs w:val="20"/>
          <w:lang w:val="en-US" w:eastAsia="zh-CN" w:bidi="ar-SA"/>
        </w:rPr>
        <w:fldChar w:fldCharType="end"/>
      </w:r>
    </w:p>
    <w:p w14:paraId="57EABB21">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_Toc28714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十一、毕业要求</w:t>
      </w:r>
      <w:r>
        <w:tab/>
      </w:r>
      <w:r>
        <w:fldChar w:fldCharType="begin"/>
      </w:r>
      <w:r>
        <w:instrText xml:space="preserve"> PAGEREF _Toc28714 \h </w:instrText>
      </w:r>
      <w:r>
        <w:fldChar w:fldCharType="separate"/>
      </w:r>
      <w:r>
        <w:t>31</w:t>
      </w:r>
      <w:r>
        <w:fldChar w:fldCharType="end"/>
      </w:r>
      <w:r>
        <w:rPr>
          <w:rFonts w:hint="eastAsia" w:ascii="Calibri" w:hAnsi="Calibri" w:eastAsia="宋体" w:cs="Calibri"/>
          <w:bCs/>
          <w:caps/>
          <w:kern w:val="2"/>
          <w:szCs w:val="20"/>
          <w:lang w:val="en-US" w:eastAsia="zh-CN" w:bidi="ar-SA"/>
        </w:rPr>
        <w:fldChar w:fldCharType="end"/>
      </w:r>
    </w:p>
    <w:p w14:paraId="54F96276">
      <w:pPr>
        <w:keepNext w:val="0"/>
        <w:keepLines w:val="0"/>
        <w:pageBreakBefore w:val="0"/>
        <w:widowControl w:val="0"/>
        <w:tabs>
          <w:tab w:val="center" w:pos="4153"/>
        </w:tabs>
        <w:kinsoku/>
        <w:wordWrap/>
        <w:overflowPunct/>
        <w:topLinePunct w:val="0"/>
        <w:autoSpaceDE/>
        <w:autoSpaceDN/>
        <w:bidi w:val="0"/>
        <w:adjustRightInd w:val="0"/>
        <w:snapToGrid w:val="0"/>
        <w:spacing w:before="0" w:after="0" w:line="360" w:lineRule="auto"/>
        <w:ind w:firstLine="0" w:firstLineChars="0"/>
        <w:jc w:val="center"/>
        <w:textAlignment w:val="auto"/>
        <w:outlineLvl w:val="9"/>
        <w:rPr>
          <w:sz w:val="24"/>
          <w:szCs w:val="24"/>
        </w:rPr>
        <w:sectPr>
          <w:headerReference r:id="rId7" w:type="default"/>
          <w:footerReference r:id="rId8" w:type="default"/>
          <w:pgSz w:w="11911" w:h="16838"/>
          <w:pgMar w:top="1757" w:right="1474" w:bottom="1644" w:left="1587" w:header="879" w:footer="998"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Calibri" w:hAnsi="Calibri" w:eastAsia="宋体" w:cs="Calibri"/>
          <w:bCs/>
          <w:caps/>
          <w:kern w:val="2"/>
          <w:szCs w:val="20"/>
          <w:lang w:val="en-US" w:eastAsia="zh-CN" w:bidi="ar-SA"/>
        </w:rPr>
        <w:fldChar w:fldCharType="end"/>
      </w:r>
      <w:bookmarkEnd w:id="5"/>
    </w:p>
    <w:bookmarkEnd w:id="6"/>
    <w:p w14:paraId="75209B45">
      <w:pPr>
        <w:pStyle w:val="2"/>
        <w:pageBreakBefore w:val="0"/>
        <w:widowControl w:val="0"/>
        <w:numPr>
          <w:ilvl w:val="0"/>
          <w:numId w:val="1"/>
        </w:numPr>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7" w:name="_Toc18652"/>
      <w:bookmarkStart w:id="8" w:name="_Toc6215"/>
      <w:r>
        <w:rPr>
          <w:rFonts w:hint="eastAsia" w:asciiTheme="majorEastAsia" w:hAnsiTheme="majorEastAsia" w:eastAsiaTheme="majorEastAsia" w:cstheme="majorEastAsia"/>
          <w:b/>
          <w:bCs/>
          <w:sz w:val="30"/>
          <w:szCs w:val="30"/>
        </w:rPr>
        <w:t>专业名称及代码</w:t>
      </w:r>
      <w:bookmarkEnd w:id="7"/>
      <w:bookmarkEnd w:id="8"/>
    </w:p>
    <w:p w14:paraId="319EC54D">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sz w:val="24"/>
          <w:szCs w:val="22"/>
          <w:lang w:eastAsia="zh-CN"/>
        </w:rPr>
      </w:pPr>
      <w:bookmarkStart w:id="9" w:name="_Toc1859"/>
      <w:r>
        <w:rPr>
          <w:rFonts w:hint="eastAsia"/>
          <w:sz w:val="24"/>
          <w:szCs w:val="22"/>
        </w:rPr>
        <w:t xml:space="preserve">食品检验检测技术  </w:t>
      </w:r>
      <w:bookmarkEnd w:id="9"/>
      <w:r>
        <w:rPr>
          <w:rFonts w:hint="eastAsia"/>
          <w:sz w:val="24"/>
          <w:szCs w:val="22"/>
        </w:rPr>
        <w:t>490104</w:t>
      </w:r>
    </w:p>
    <w:p w14:paraId="0D85FE0A">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0" w:name="_Toc26738"/>
      <w:bookmarkStart w:id="11" w:name="_Toc16458"/>
      <w:r>
        <w:rPr>
          <w:rFonts w:hint="eastAsia" w:asciiTheme="majorEastAsia" w:hAnsiTheme="majorEastAsia" w:eastAsiaTheme="majorEastAsia" w:cstheme="majorEastAsia"/>
          <w:b/>
          <w:bCs/>
          <w:sz w:val="30"/>
          <w:szCs w:val="30"/>
          <w:lang w:val="en-US" w:eastAsia="zh-CN"/>
        </w:rPr>
        <w:t>二、</w:t>
      </w:r>
      <w:r>
        <w:rPr>
          <w:rFonts w:hint="eastAsia" w:asciiTheme="majorEastAsia" w:hAnsiTheme="majorEastAsia" w:eastAsiaTheme="majorEastAsia" w:cstheme="majorEastAsia"/>
          <w:b/>
          <w:bCs/>
          <w:sz w:val="30"/>
          <w:szCs w:val="30"/>
        </w:rPr>
        <w:t>入学要求</w:t>
      </w:r>
      <w:bookmarkEnd w:id="10"/>
      <w:bookmarkEnd w:id="11"/>
    </w:p>
    <w:p w14:paraId="2CE63898">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eastAsia="宋体"/>
          <w:sz w:val="24"/>
          <w:szCs w:val="22"/>
          <w:lang w:eastAsia="zh-CN"/>
        </w:rPr>
      </w:pPr>
      <w:bookmarkStart w:id="12" w:name="_Toc22943"/>
      <w:r>
        <w:rPr>
          <w:rFonts w:hint="eastAsia"/>
          <w:sz w:val="24"/>
          <w:szCs w:val="22"/>
        </w:rPr>
        <w:t>普通高级中学毕业、中等职业学校毕业或具备同等学力。</w:t>
      </w:r>
      <w:bookmarkEnd w:id="12"/>
    </w:p>
    <w:p w14:paraId="7D39C945">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3" w:name="_Toc15389"/>
      <w:bookmarkStart w:id="14" w:name="_Toc16973"/>
      <w:r>
        <w:rPr>
          <w:rFonts w:hint="eastAsia" w:asciiTheme="majorEastAsia" w:hAnsiTheme="majorEastAsia" w:eastAsiaTheme="majorEastAsia" w:cstheme="majorEastAsia"/>
          <w:b/>
          <w:bCs/>
          <w:sz w:val="30"/>
          <w:szCs w:val="30"/>
          <w:lang w:val="en-US" w:eastAsia="zh-CN"/>
        </w:rPr>
        <w:t>三、</w:t>
      </w:r>
      <w:r>
        <w:rPr>
          <w:rFonts w:hint="eastAsia" w:asciiTheme="majorEastAsia" w:hAnsiTheme="majorEastAsia" w:eastAsiaTheme="majorEastAsia" w:cstheme="majorEastAsia"/>
          <w:b/>
          <w:bCs/>
          <w:sz w:val="30"/>
          <w:szCs w:val="30"/>
        </w:rPr>
        <w:t>修业年限</w:t>
      </w:r>
      <w:bookmarkEnd w:id="13"/>
      <w:bookmarkEnd w:id="14"/>
    </w:p>
    <w:p w14:paraId="4B5DD9D3">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sz w:val="24"/>
          <w:szCs w:val="22"/>
        </w:rPr>
      </w:pPr>
      <w:bookmarkStart w:id="15" w:name="_Toc810"/>
      <w:r>
        <w:rPr>
          <w:rFonts w:hint="eastAsia"/>
          <w:sz w:val="24"/>
          <w:szCs w:val="22"/>
        </w:rPr>
        <w:t>三年制，可以根据学生灵活学习需求合理、弹性安排学习时间。</w:t>
      </w:r>
      <w:bookmarkEnd w:id="15"/>
    </w:p>
    <w:p w14:paraId="2AB32843">
      <w:pPr>
        <w:pStyle w:val="2"/>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6" w:name="_Toc14926"/>
      <w:bookmarkStart w:id="17" w:name="_Toc5637"/>
      <w:r>
        <w:rPr>
          <w:rFonts w:hint="eastAsia" w:asciiTheme="majorEastAsia" w:hAnsiTheme="majorEastAsia" w:eastAsiaTheme="majorEastAsia" w:cstheme="majorEastAsia"/>
          <w:b/>
          <w:bCs/>
          <w:kern w:val="44"/>
          <w:sz w:val="30"/>
          <w:szCs w:val="30"/>
          <w:lang w:val="en-US" w:eastAsia="zh-CN" w:bidi="ar-SA"/>
        </w:rPr>
        <w:t>四、</w:t>
      </w:r>
      <w:r>
        <w:rPr>
          <w:rFonts w:hint="eastAsia" w:asciiTheme="majorEastAsia" w:hAnsiTheme="majorEastAsia" w:eastAsiaTheme="majorEastAsia" w:cstheme="majorEastAsia"/>
          <w:b/>
          <w:bCs/>
          <w:sz w:val="30"/>
          <w:szCs w:val="30"/>
        </w:rPr>
        <w:t>职业面向</w:t>
      </w:r>
      <w:bookmarkEnd w:id="16"/>
      <w:bookmarkEnd w:id="17"/>
    </w:p>
    <w:p w14:paraId="142BB352">
      <w:pPr>
        <w:pageBreakBefore w:val="0"/>
        <w:kinsoku/>
        <w:wordWrap/>
        <w:overflowPunct/>
        <w:topLinePunct w:val="0"/>
        <w:autoSpaceDE/>
        <w:autoSpaceDN/>
        <w:bidi w:val="0"/>
        <w:spacing w:line="360" w:lineRule="auto"/>
        <w:ind w:left="0" w:leftChars="0" w:right="0" w:rightChars="0" w:firstLine="0" w:firstLineChars="0"/>
        <w:jc w:val="center"/>
        <w:outlineLvl w:val="2"/>
        <w:rPr>
          <w:rFonts w:hint="default" w:ascii="宋体" w:hAnsi="宋体" w:cs="宋体"/>
          <w:b/>
          <w:sz w:val="21"/>
          <w:szCs w:val="21"/>
          <w:lang w:val="en-US" w:eastAsia="zh-CN"/>
        </w:rPr>
      </w:pPr>
      <w:r>
        <w:rPr>
          <w:rFonts w:hint="eastAsia" w:ascii="宋体" w:hAnsi="宋体" w:cs="宋体"/>
          <w:b/>
          <w:sz w:val="21"/>
          <w:szCs w:val="21"/>
          <w:lang w:val="en-US" w:eastAsia="zh-CN"/>
        </w:rPr>
        <w:t>表4-1 食品检验检测技术专业职业面向</w:t>
      </w:r>
    </w:p>
    <w:tbl>
      <w:tblPr>
        <w:tblStyle w:val="27"/>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8"/>
        <w:gridCol w:w="1134"/>
        <w:gridCol w:w="1199"/>
        <w:gridCol w:w="1778"/>
        <w:gridCol w:w="1922"/>
        <w:gridCol w:w="1905"/>
      </w:tblGrid>
      <w:tr w14:paraId="6201F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398" w:type="dxa"/>
            <w:shd w:val="clear" w:color="auto" w:fill="B8CCE4" w:themeFill="accent1" w:themeFillTint="66"/>
            <w:vAlign w:val="center"/>
          </w:tcPr>
          <w:p w14:paraId="34BB7BED">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所属专业大类（代码）</w:t>
            </w:r>
          </w:p>
        </w:tc>
        <w:tc>
          <w:tcPr>
            <w:tcW w:w="1134" w:type="dxa"/>
            <w:shd w:val="clear" w:color="auto" w:fill="B8CCE4" w:themeFill="accent1" w:themeFillTint="66"/>
            <w:vAlign w:val="center"/>
          </w:tcPr>
          <w:p w14:paraId="743B961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所属专业类（代码）</w:t>
            </w:r>
          </w:p>
        </w:tc>
        <w:tc>
          <w:tcPr>
            <w:tcW w:w="1199" w:type="dxa"/>
            <w:shd w:val="clear" w:color="auto" w:fill="B8CCE4" w:themeFill="accent1" w:themeFillTint="66"/>
            <w:vAlign w:val="center"/>
          </w:tcPr>
          <w:p w14:paraId="18EA2BC8">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对应行业</w:t>
            </w:r>
          </w:p>
          <w:p w14:paraId="583F5D9C">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（代码）</w:t>
            </w:r>
          </w:p>
        </w:tc>
        <w:tc>
          <w:tcPr>
            <w:tcW w:w="1778" w:type="dxa"/>
            <w:shd w:val="clear" w:color="auto" w:fill="B8CCE4" w:themeFill="accent1" w:themeFillTint="66"/>
            <w:vAlign w:val="center"/>
          </w:tcPr>
          <w:p w14:paraId="24AD9FD2">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主要职业类别</w:t>
            </w:r>
          </w:p>
          <w:p w14:paraId="4D7C963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（代码）</w:t>
            </w:r>
          </w:p>
        </w:tc>
        <w:tc>
          <w:tcPr>
            <w:tcW w:w="1922" w:type="dxa"/>
            <w:shd w:val="clear" w:color="auto" w:fill="B8CCE4" w:themeFill="accent1" w:themeFillTint="66"/>
            <w:vAlign w:val="center"/>
          </w:tcPr>
          <w:p w14:paraId="1619EB59">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主要岗位类别</w:t>
            </w:r>
          </w:p>
          <w:p w14:paraId="31D98605">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（或技术领域）</w:t>
            </w:r>
          </w:p>
        </w:tc>
        <w:tc>
          <w:tcPr>
            <w:tcW w:w="1905" w:type="dxa"/>
            <w:shd w:val="clear" w:color="auto" w:fill="B8CCE4" w:themeFill="accent1" w:themeFillTint="66"/>
            <w:vAlign w:val="center"/>
          </w:tcPr>
          <w:p w14:paraId="737EB31D">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职业资格证书或技能等级证书举例</w:t>
            </w:r>
          </w:p>
        </w:tc>
      </w:tr>
      <w:tr w14:paraId="6A7CD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0" w:hRule="atLeast"/>
          <w:jc w:val="center"/>
        </w:trPr>
        <w:tc>
          <w:tcPr>
            <w:tcW w:w="1398" w:type="dxa"/>
            <w:shd w:val="clear" w:color="auto" w:fill="auto"/>
            <w:vAlign w:val="center"/>
          </w:tcPr>
          <w:p w14:paraId="2A84CF5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FF0000"/>
                <w:sz w:val="21"/>
                <w:szCs w:val="21"/>
                <w:lang w:val="en-US" w:eastAsia="zh-CN"/>
              </w:rPr>
            </w:pPr>
            <w:r>
              <w:rPr>
                <w:rFonts w:hint="eastAsia" w:ascii="宋体" w:hAnsi="宋体" w:eastAsia="宋体" w:cs="宋体"/>
                <w:color w:val="000000"/>
                <w:kern w:val="0"/>
                <w:sz w:val="21"/>
                <w:szCs w:val="21"/>
                <w:lang w:val="en-US" w:eastAsia="zh-CN" w:bidi="ar"/>
              </w:rPr>
              <w:t>食品药品与粮食大类（49）</w:t>
            </w:r>
          </w:p>
        </w:tc>
        <w:tc>
          <w:tcPr>
            <w:tcW w:w="1134" w:type="dxa"/>
            <w:shd w:val="clear" w:color="auto" w:fill="auto"/>
            <w:vAlign w:val="center"/>
          </w:tcPr>
          <w:p w14:paraId="5AC4756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食品类（</w:t>
            </w:r>
            <w:r>
              <w:rPr>
                <w:rFonts w:hint="default" w:ascii="宋体" w:hAnsi="宋体" w:eastAsia="宋体" w:cs="宋体"/>
                <w:color w:val="000000"/>
                <w:kern w:val="0"/>
                <w:sz w:val="21"/>
                <w:szCs w:val="21"/>
                <w:lang w:val="en-US" w:eastAsia="zh-CN" w:bidi="ar"/>
              </w:rPr>
              <w:t>4901</w:t>
            </w:r>
            <w:r>
              <w:rPr>
                <w:rFonts w:hint="eastAsia" w:ascii="宋体" w:hAnsi="宋体" w:eastAsia="宋体" w:cs="宋体"/>
                <w:color w:val="000000"/>
                <w:kern w:val="0"/>
                <w:sz w:val="21"/>
                <w:szCs w:val="21"/>
                <w:lang w:val="en-US" w:eastAsia="zh-CN" w:bidi="ar"/>
              </w:rPr>
              <w:t>）</w:t>
            </w:r>
          </w:p>
        </w:tc>
        <w:tc>
          <w:tcPr>
            <w:tcW w:w="1199" w:type="dxa"/>
            <w:shd w:val="clear" w:color="auto" w:fill="auto"/>
            <w:vAlign w:val="center"/>
          </w:tcPr>
          <w:p w14:paraId="31224A8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质检技术服务（</w:t>
            </w:r>
            <w:r>
              <w:rPr>
                <w:rFonts w:hint="default" w:ascii="宋体" w:hAnsi="宋体" w:eastAsia="宋体" w:cs="宋体"/>
                <w:color w:val="000000"/>
                <w:kern w:val="0"/>
                <w:sz w:val="21"/>
                <w:szCs w:val="21"/>
                <w:lang w:val="en-US" w:eastAsia="zh-CN" w:bidi="ar"/>
              </w:rPr>
              <w:t>745</w:t>
            </w:r>
            <w:r>
              <w:rPr>
                <w:rFonts w:hint="eastAsia" w:ascii="宋体" w:hAnsi="宋体" w:eastAsia="宋体" w:cs="宋体"/>
                <w:color w:val="000000"/>
                <w:kern w:val="0"/>
                <w:sz w:val="21"/>
                <w:szCs w:val="21"/>
                <w:lang w:val="en-US" w:eastAsia="zh-CN" w:bidi="ar"/>
              </w:rPr>
              <w:t>）、农副食品加工业（</w:t>
            </w:r>
            <w:r>
              <w:rPr>
                <w:rFonts w:hint="default" w:ascii="宋体" w:hAnsi="宋体" w:eastAsia="宋体" w:cs="宋体"/>
                <w:color w:val="000000"/>
                <w:kern w:val="0"/>
                <w:sz w:val="21"/>
                <w:szCs w:val="21"/>
                <w:lang w:val="en-US" w:eastAsia="zh-CN" w:bidi="ar"/>
              </w:rPr>
              <w:t>13</w:t>
            </w:r>
            <w:r>
              <w:rPr>
                <w:rFonts w:hint="eastAsia" w:ascii="宋体" w:hAnsi="宋体" w:eastAsia="宋体" w:cs="宋体"/>
                <w:color w:val="000000"/>
                <w:kern w:val="0"/>
                <w:sz w:val="21"/>
                <w:szCs w:val="21"/>
                <w:lang w:val="en-US" w:eastAsia="zh-CN" w:bidi="ar"/>
              </w:rPr>
              <w:t>）、食品制造业（</w:t>
            </w:r>
            <w:r>
              <w:rPr>
                <w:rFonts w:hint="default" w:ascii="宋体" w:hAnsi="宋体" w:eastAsia="宋体" w:cs="宋体"/>
                <w:color w:val="000000"/>
                <w:kern w:val="0"/>
                <w:sz w:val="21"/>
                <w:szCs w:val="21"/>
                <w:lang w:val="en-US" w:eastAsia="zh-CN" w:bidi="ar"/>
              </w:rPr>
              <w:t>14</w:t>
            </w:r>
            <w:r>
              <w:rPr>
                <w:rFonts w:hint="eastAsia" w:ascii="宋体" w:hAnsi="宋体" w:eastAsia="宋体" w:cs="宋体"/>
                <w:color w:val="000000"/>
                <w:kern w:val="0"/>
                <w:sz w:val="21"/>
                <w:szCs w:val="21"/>
                <w:lang w:val="en-US" w:eastAsia="zh-CN" w:bidi="ar"/>
              </w:rPr>
              <w:t>）、酒、饮料和精制茶制造业（</w:t>
            </w:r>
            <w:r>
              <w:rPr>
                <w:rFonts w:hint="default" w:ascii="宋体" w:hAnsi="宋体" w:eastAsia="宋体" w:cs="宋体"/>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w:t>
            </w:r>
          </w:p>
        </w:tc>
        <w:tc>
          <w:tcPr>
            <w:tcW w:w="1778" w:type="dxa"/>
            <w:shd w:val="clear" w:color="auto" w:fill="auto"/>
            <w:vAlign w:val="center"/>
          </w:tcPr>
          <w:p w14:paraId="648D4C2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农产品食品检验员（</w:t>
            </w:r>
            <w:r>
              <w:rPr>
                <w:rFonts w:hint="default" w:ascii="宋体" w:hAnsi="宋体" w:eastAsia="宋体" w:cs="宋体"/>
                <w:color w:val="000000"/>
                <w:kern w:val="0"/>
                <w:sz w:val="21"/>
                <w:szCs w:val="21"/>
                <w:lang w:val="en-US" w:eastAsia="zh-CN" w:bidi="ar"/>
              </w:rPr>
              <w:t>4-08-05-01</w:t>
            </w:r>
            <w:r>
              <w:rPr>
                <w:rFonts w:hint="eastAsia" w:ascii="宋体" w:hAnsi="宋体" w:eastAsia="宋体" w:cs="宋体"/>
                <w:color w:val="000000"/>
                <w:kern w:val="0"/>
                <w:sz w:val="21"/>
                <w:szCs w:val="21"/>
                <w:lang w:val="en-US" w:eastAsia="zh-CN" w:bidi="ar"/>
              </w:rPr>
              <w:t xml:space="preserve">）、产品质量检验工程技术人员 </w:t>
            </w:r>
          </w:p>
          <w:p w14:paraId="1F3272D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r>
              <w:rPr>
                <w:rFonts w:hint="default" w:ascii="宋体" w:hAnsi="宋体" w:eastAsia="宋体" w:cs="宋体"/>
                <w:color w:val="000000"/>
                <w:kern w:val="0"/>
                <w:sz w:val="21"/>
                <w:szCs w:val="21"/>
                <w:lang w:val="en-US" w:eastAsia="zh-CN" w:bidi="ar"/>
              </w:rPr>
              <w:t>2-02-31-01</w:t>
            </w:r>
            <w:r>
              <w:rPr>
                <w:rFonts w:hint="eastAsia" w:ascii="宋体" w:hAnsi="宋体" w:eastAsia="宋体" w:cs="宋体"/>
                <w:color w:val="000000"/>
                <w:kern w:val="0"/>
                <w:sz w:val="21"/>
                <w:szCs w:val="21"/>
                <w:lang w:val="en-US" w:eastAsia="zh-CN" w:bidi="ar"/>
              </w:rPr>
              <w:t>）、质量认证认可工程技术人员（</w:t>
            </w:r>
            <w:r>
              <w:rPr>
                <w:rFonts w:hint="default" w:ascii="宋体" w:hAnsi="宋体" w:eastAsia="宋体" w:cs="宋体"/>
                <w:color w:val="000000"/>
                <w:kern w:val="0"/>
                <w:sz w:val="21"/>
                <w:szCs w:val="21"/>
                <w:lang w:val="en-US" w:eastAsia="zh-CN" w:bidi="ar"/>
              </w:rPr>
              <w:t>2-02-29-04</w:t>
            </w:r>
            <w:r>
              <w:rPr>
                <w:rFonts w:hint="eastAsia" w:ascii="宋体" w:hAnsi="宋体" w:eastAsia="宋体" w:cs="宋体"/>
                <w:color w:val="000000"/>
                <w:kern w:val="0"/>
                <w:sz w:val="21"/>
                <w:szCs w:val="21"/>
                <w:lang w:val="en-US" w:eastAsia="zh-CN" w:bidi="ar"/>
              </w:rPr>
              <w:t>）</w:t>
            </w:r>
          </w:p>
        </w:tc>
        <w:tc>
          <w:tcPr>
            <w:tcW w:w="1922" w:type="dxa"/>
            <w:shd w:val="clear" w:color="auto" w:fill="auto"/>
            <w:vAlign w:val="center"/>
          </w:tcPr>
          <w:p w14:paraId="317DBDE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农产品食品检验检测、实验室管理与服务、食品质量与安全管理</w:t>
            </w:r>
          </w:p>
        </w:tc>
        <w:tc>
          <w:tcPr>
            <w:tcW w:w="1905" w:type="dxa"/>
            <w:shd w:val="clear" w:color="auto" w:fill="auto"/>
            <w:vAlign w:val="center"/>
          </w:tcPr>
          <w:p w14:paraId="39B938B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食品检验管理、粮农食品安全评价</w:t>
            </w:r>
          </w:p>
        </w:tc>
      </w:tr>
    </w:tbl>
    <w:p w14:paraId="6D587A16">
      <w:pPr>
        <w:pStyle w:val="2"/>
        <w:pageBreakBefore w:val="0"/>
        <w:kinsoku/>
        <w:wordWrap/>
        <w:overflowPunct/>
        <w:topLinePunct w:val="0"/>
        <w:autoSpaceDE/>
        <w:autoSpaceDN/>
        <w:bidi w:val="0"/>
        <w:adjustRightInd/>
        <w:snapToGrid/>
        <w:spacing w:beforeLines="0" w:afterLines="0" w:line="360" w:lineRule="auto"/>
        <w:ind w:left="0" w:leftChars="0" w:right="0" w:rightChars="0" w:firstLine="0" w:firstLineChars="0"/>
        <w:textAlignment w:val="auto"/>
        <w:rPr>
          <w:rFonts w:hint="eastAsia" w:asciiTheme="majorEastAsia" w:hAnsiTheme="majorEastAsia" w:eastAsiaTheme="majorEastAsia" w:cstheme="majorEastAsia"/>
          <w:b/>
          <w:bCs/>
          <w:sz w:val="30"/>
          <w:szCs w:val="30"/>
          <w:lang w:val="en-US" w:eastAsia="zh-CN"/>
        </w:rPr>
      </w:pPr>
      <w:bookmarkStart w:id="18" w:name="_Toc21410"/>
    </w:p>
    <w:p w14:paraId="3E826E64">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9" w:name="_Toc1283"/>
      <w:r>
        <w:rPr>
          <w:rFonts w:hint="eastAsia" w:asciiTheme="majorEastAsia" w:hAnsiTheme="majorEastAsia" w:eastAsiaTheme="majorEastAsia" w:cstheme="majorEastAsia"/>
          <w:b/>
          <w:bCs/>
          <w:sz w:val="30"/>
          <w:szCs w:val="30"/>
          <w:lang w:val="en-US" w:eastAsia="zh-CN"/>
        </w:rPr>
        <w:t>五、</w:t>
      </w:r>
      <w:r>
        <w:rPr>
          <w:rFonts w:hint="eastAsia" w:asciiTheme="majorEastAsia" w:hAnsiTheme="majorEastAsia" w:eastAsiaTheme="majorEastAsia" w:cstheme="majorEastAsia"/>
          <w:b/>
          <w:bCs/>
          <w:sz w:val="30"/>
          <w:szCs w:val="30"/>
        </w:rPr>
        <w:t>培养目标与培养规格</w:t>
      </w:r>
      <w:bookmarkEnd w:id="18"/>
      <w:bookmarkEnd w:id="19"/>
    </w:p>
    <w:p w14:paraId="7904F0B2">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20" w:name="_Toc20815"/>
      <w:bookmarkStart w:id="21" w:name="_Toc3986"/>
      <w:r>
        <w:rPr>
          <w:rFonts w:hint="eastAsia" w:asciiTheme="minorEastAsia" w:hAnsiTheme="minorEastAsia" w:eastAsiaTheme="minorEastAsia" w:cstheme="minorEastAsia"/>
          <w:sz w:val="28"/>
          <w:szCs w:val="28"/>
          <w:lang w:val="en-US" w:eastAsia="zh-CN"/>
        </w:rPr>
        <w:t>（一）培养目标</w:t>
      </w:r>
      <w:bookmarkEnd w:id="20"/>
      <w:bookmarkEnd w:id="21"/>
    </w:p>
    <w:p w14:paraId="73B051EC">
      <w:pPr>
        <w:keepNext w:val="0"/>
        <w:keepLines w:val="0"/>
        <w:widowControl/>
        <w:suppressLineNumbers w:val="0"/>
        <w:jc w:val="left"/>
        <w:rPr>
          <w:rFonts w:hint="eastAsia"/>
          <w:sz w:val="24"/>
          <w:szCs w:val="22"/>
          <w:lang w:eastAsia="zh-CN"/>
        </w:rPr>
      </w:pPr>
      <w:r>
        <w:rPr>
          <w:rFonts w:hint="eastAsia"/>
          <w:sz w:val="24"/>
          <w:szCs w:val="22"/>
          <w:lang w:val="en-US" w:eastAsia="zh-CN"/>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质检技术服务、农副食品加工、食品制造等行业的农产品食品检验员、产品质量检验工程技术人员、质量认证认可工程技术人员等职业，能够从事食品检验检测、实验室管理与服务、食品质量与安全管理等工作的高技能人才。</w:t>
      </w:r>
    </w:p>
    <w:p w14:paraId="2376C11E">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22" w:name="_Toc16442"/>
      <w:bookmarkStart w:id="23" w:name="_Toc21053"/>
      <w:r>
        <w:rPr>
          <w:rFonts w:hint="eastAsia" w:asciiTheme="minorEastAsia" w:hAnsiTheme="minorEastAsia" w:eastAsiaTheme="minorEastAsia" w:cstheme="minorEastAsia"/>
          <w:sz w:val="28"/>
          <w:szCs w:val="28"/>
          <w:lang w:val="en-US" w:eastAsia="zh-CN"/>
        </w:rPr>
        <w:t>（二）培养规格</w:t>
      </w:r>
      <w:bookmarkEnd w:id="22"/>
      <w:bookmarkEnd w:id="23"/>
    </w:p>
    <w:p w14:paraId="36923D48">
      <w:pPr>
        <w:keepNext w:val="0"/>
        <w:keepLines w:val="0"/>
        <w:widowControl/>
        <w:suppressLineNumbers w:val="0"/>
        <w:jc w:val="left"/>
        <w:rPr>
          <w:rFonts w:hint="eastAsia"/>
          <w:sz w:val="24"/>
          <w:szCs w:val="22"/>
        </w:rPr>
      </w:pPr>
      <w:r>
        <w:rPr>
          <w:rFonts w:hint="eastAsia"/>
          <w:sz w:val="24"/>
          <w:szCs w:val="22"/>
          <w:lang w:val="en-US" w:eastAsia="zh-CN"/>
        </w:rPr>
        <w:t>本专业学生应在系统学习本专业知识并完成有关实习实训基础上，全面提升知识、能力、素质，掌握并实际运用岗位（群）需要的专业核心技术技能，实现德智体美劳全面发展，总体上须达到以下要求：</w:t>
      </w:r>
    </w:p>
    <w:p w14:paraId="4A4FE1C5">
      <w:pPr>
        <w:pStyle w:val="4"/>
        <w:pageBreakBefore w:val="0"/>
        <w:kinsoku/>
        <w:wordWrap/>
        <w:overflowPunct/>
        <w:topLinePunct w:val="0"/>
        <w:autoSpaceDE/>
        <w:autoSpaceDN/>
        <w:bidi w:val="0"/>
        <w:adjustRightInd/>
        <w:snapToGrid/>
        <w:spacing w:line="360" w:lineRule="auto"/>
        <w:ind w:left="0" w:leftChars="0" w:right="0" w:rightChars="0"/>
        <w:textAlignment w:val="auto"/>
        <w:rPr>
          <w:sz w:val="24"/>
          <w:szCs w:val="24"/>
        </w:rPr>
      </w:pPr>
      <w:bookmarkStart w:id="24" w:name="_Toc3546"/>
      <w:r>
        <w:rPr>
          <w:rFonts w:hint="eastAsia"/>
          <w:sz w:val="24"/>
          <w:szCs w:val="24"/>
        </w:rPr>
        <w:t>1.素质方面</w:t>
      </w:r>
      <w:bookmarkEnd w:id="24"/>
    </w:p>
    <w:p w14:paraId="75B10B06">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lang w:eastAsia="zh-CN"/>
        </w:rPr>
      </w:pPr>
      <w:bookmarkStart w:id="25" w:name="_Toc20318"/>
      <w:r>
        <w:rPr>
          <w:rFonts w:hint="eastAsia"/>
          <w:sz w:val="24"/>
          <w:szCs w:val="22"/>
          <w:lang w:eastAsia="zh-CN"/>
        </w:rPr>
        <w:t>（1）</w:t>
      </w:r>
      <w:r>
        <w:rPr>
          <w:rFonts w:hint="eastAsia"/>
          <w:sz w:val="24"/>
          <w:szCs w:val="22"/>
          <w:lang w:val="en-US" w:eastAsia="zh-CN"/>
        </w:rPr>
        <w:t>坚定拥护中国共产党领导和中国特色社会主义制度，以习近平新时代中国特色社会主义思想为指导，践行社会主义核心价值观，具有坚定的理想信念、深厚的爱国情感和中华民族自豪感</w:t>
      </w:r>
      <w:r>
        <w:rPr>
          <w:rFonts w:hint="eastAsia"/>
          <w:sz w:val="24"/>
          <w:szCs w:val="22"/>
          <w:lang w:eastAsia="zh-CN"/>
        </w:rPr>
        <w:t>；</w:t>
      </w:r>
      <w:bookmarkEnd w:id="25"/>
    </w:p>
    <w:p w14:paraId="00AFC868">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lang w:eastAsia="zh-CN"/>
        </w:rPr>
      </w:pPr>
      <w:bookmarkStart w:id="26" w:name="_Toc22107"/>
      <w:r>
        <w:rPr>
          <w:rFonts w:hint="eastAsia"/>
          <w:sz w:val="24"/>
          <w:szCs w:val="22"/>
          <w:lang w:eastAsia="zh-CN"/>
        </w:rPr>
        <w:t>（2）</w:t>
      </w:r>
      <w:r>
        <w:rPr>
          <w:rFonts w:hint="eastAsia"/>
          <w:sz w:val="24"/>
          <w:szCs w:val="22"/>
          <w:lang w:val="en-US" w:eastAsia="zh-CN"/>
        </w:rPr>
        <w:t>掌握与本专业对应职业活动相关的国家法律、行业规定，掌握绿色生产、环境保护、安全防护、质量管理等相关知识与技能，了解相关行业文化，具有爱岗敬业的职业精神，遵守职业道德准则和行为规范，具备社会责任感和担当精神</w:t>
      </w:r>
      <w:r>
        <w:rPr>
          <w:rFonts w:hint="eastAsia"/>
          <w:sz w:val="24"/>
          <w:szCs w:val="22"/>
          <w:lang w:eastAsia="zh-CN"/>
        </w:rPr>
        <w:t>；</w:t>
      </w:r>
      <w:bookmarkEnd w:id="26"/>
    </w:p>
    <w:p w14:paraId="6F221E1A">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lang w:eastAsia="zh-CN"/>
        </w:rPr>
      </w:pPr>
      <w:bookmarkStart w:id="27" w:name="_Toc18481"/>
      <w:r>
        <w:rPr>
          <w:rFonts w:hint="eastAsia"/>
          <w:sz w:val="24"/>
          <w:szCs w:val="22"/>
          <w:lang w:eastAsia="zh-CN"/>
        </w:rPr>
        <w:t>（3）</w:t>
      </w:r>
      <w:r>
        <w:rPr>
          <w:rFonts w:hint="eastAsia"/>
          <w:sz w:val="24"/>
          <w:szCs w:val="22"/>
          <w:lang w:val="en-US" w:eastAsia="zh-CN"/>
        </w:rPr>
        <w:t>掌握支撑本专业学习和可持续发展必备的语文、数学、外语（英语等）、信息技术等文化基础知识，具有良好的人文素养与科学素养，具备职业生涯规划能力</w:t>
      </w:r>
      <w:r>
        <w:rPr>
          <w:rFonts w:hint="eastAsia"/>
          <w:sz w:val="24"/>
          <w:szCs w:val="22"/>
          <w:lang w:eastAsia="zh-CN"/>
        </w:rPr>
        <w:t>；</w:t>
      </w:r>
      <w:bookmarkEnd w:id="27"/>
    </w:p>
    <w:p w14:paraId="20C71633">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lang w:val="en-US" w:eastAsia="zh-CN"/>
        </w:rPr>
      </w:pPr>
      <w:bookmarkStart w:id="28" w:name="_Toc22296"/>
      <w:r>
        <w:rPr>
          <w:rFonts w:hint="eastAsia"/>
          <w:sz w:val="24"/>
          <w:szCs w:val="22"/>
          <w:lang w:val="en-US" w:eastAsia="zh-CN"/>
        </w:rPr>
        <w:t>（4）树立正确的劳动观，尊重劳动，热爱劳动，具备与本专业职业发展相适应的劳动素养，弘扬劳模精神、劳动精神、工匠精神，弘扬劳动光荣、技能宝贵、创造伟大的时代风尚。</w:t>
      </w:r>
      <w:bookmarkEnd w:id="28"/>
    </w:p>
    <w:p w14:paraId="26B53ED2">
      <w:pPr>
        <w:pStyle w:val="4"/>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4"/>
        </w:rPr>
      </w:pPr>
      <w:bookmarkStart w:id="29" w:name="_Toc417"/>
      <w:r>
        <w:rPr>
          <w:rFonts w:hint="eastAsia"/>
          <w:sz w:val="24"/>
          <w:szCs w:val="24"/>
        </w:rPr>
        <w:t>2.知识方面</w:t>
      </w:r>
      <w:bookmarkEnd w:id="29"/>
    </w:p>
    <w:p w14:paraId="5701AD7B">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bookmarkStart w:id="30" w:name="_Toc25791"/>
      <w:r>
        <w:rPr>
          <w:rFonts w:hint="eastAsia"/>
          <w:sz w:val="24"/>
          <w:szCs w:val="22"/>
        </w:rPr>
        <w:t>（1）</w:t>
      </w:r>
      <w:r>
        <w:rPr>
          <w:rFonts w:hint="eastAsia"/>
          <w:sz w:val="24"/>
          <w:szCs w:val="22"/>
          <w:lang w:val="en-US" w:eastAsia="zh-CN"/>
        </w:rPr>
        <w:t>具有良好的语言表达能力、文字表达能力、沟通合作能力，具有较强的集体意识和团队合作意识，学习</w:t>
      </w:r>
      <w:r>
        <w:rPr>
          <w:rFonts w:hint="default"/>
          <w:sz w:val="24"/>
          <w:szCs w:val="22"/>
          <w:lang w:val="en-US" w:eastAsia="zh-CN"/>
        </w:rPr>
        <w:t>1</w:t>
      </w:r>
      <w:r>
        <w:rPr>
          <w:rFonts w:hint="eastAsia"/>
          <w:sz w:val="24"/>
          <w:szCs w:val="22"/>
          <w:lang w:val="en-US" w:eastAsia="zh-CN"/>
        </w:rPr>
        <w:t>门外语并结合本专业加以运用</w:t>
      </w:r>
      <w:r>
        <w:rPr>
          <w:rFonts w:hint="eastAsia"/>
          <w:sz w:val="24"/>
          <w:szCs w:val="22"/>
        </w:rPr>
        <w:t>；</w:t>
      </w:r>
    </w:p>
    <w:p w14:paraId="1E64F570">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（2）</w:t>
      </w:r>
      <w:r>
        <w:rPr>
          <w:rFonts w:hint="eastAsia"/>
          <w:sz w:val="24"/>
          <w:szCs w:val="22"/>
          <w:lang w:val="en-US" w:eastAsia="zh-CN"/>
        </w:rPr>
        <w:t>掌握食品相关标准和法律法规，掌握食品原料的种类、性质和特点，典型食品加工技术等基础理论知识</w:t>
      </w:r>
      <w:r>
        <w:rPr>
          <w:rFonts w:hint="eastAsia"/>
          <w:sz w:val="24"/>
          <w:szCs w:val="22"/>
        </w:rPr>
        <w:t>；</w:t>
      </w:r>
    </w:p>
    <w:p w14:paraId="7DC9229F">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（3）</w:t>
      </w:r>
      <w:r>
        <w:rPr>
          <w:rFonts w:hint="eastAsia"/>
          <w:sz w:val="24"/>
          <w:szCs w:val="22"/>
          <w:lang w:val="en-US" w:eastAsia="zh-CN"/>
        </w:rPr>
        <w:t>掌握食品检验检测流程、原理和方法，常用食品分析仪器和快检设备的工作原理、使用和维护方法，检测实验室安全与质量管理，食品质量控制与安全管理等基础理论知识</w:t>
      </w:r>
      <w:r>
        <w:rPr>
          <w:rFonts w:hint="eastAsia"/>
          <w:sz w:val="24"/>
          <w:szCs w:val="22"/>
        </w:rPr>
        <w:t>。</w:t>
      </w:r>
    </w:p>
    <w:p w14:paraId="1CECE8F7">
      <w:pPr>
        <w:pStyle w:val="4"/>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4"/>
        </w:rPr>
      </w:pPr>
      <w:r>
        <w:rPr>
          <w:rFonts w:hint="eastAsia"/>
          <w:sz w:val="24"/>
          <w:szCs w:val="24"/>
        </w:rPr>
        <w:t>3.能力方面</w:t>
      </w:r>
      <w:bookmarkEnd w:id="30"/>
    </w:p>
    <w:p w14:paraId="7E507BD2">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lang w:val="en-US" w:eastAsia="zh-CN"/>
        </w:rPr>
      </w:pPr>
      <w:r>
        <w:rPr>
          <w:rFonts w:hint="eastAsia"/>
          <w:sz w:val="24"/>
          <w:szCs w:val="22"/>
          <w:lang w:eastAsia="zh-CN"/>
        </w:rPr>
        <w:t>（</w:t>
      </w:r>
      <w:r>
        <w:rPr>
          <w:rFonts w:hint="eastAsia"/>
          <w:sz w:val="24"/>
          <w:szCs w:val="22"/>
          <w:lang w:val="en-US" w:eastAsia="zh-CN"/>
        </w:rPr>
        <w:t>1</w:t>
      </w:r>
      <w:r>
        <w:rPr>
          <w:rFonts w:hint="eastAsia"/>
          <w:sz w:val="24"/>
          <w:szCs w:val="22"/>
          <w:lang w:eastAsia="zh-CN"/>
        </w:rPr>
        <w:t>）</w:t>
      </w:r>
      <w:r>
        <w:rPr>
          <w:rFonts w:hint="eastAsia"/>
          <w:sz w:val="24"/>
          <w:szCs w:val="22"/>
          <w:lang w:val="en-US" w:eastAsia="zh-CN"/>
        </w:rPr>
        <w:t>通用能力</w:t>
      </w:r>
    </w:p>
    <w:p w14:paraId="2B498828">
      <w:pPr>
        <w:numPr>
          <w:ilvl w:val="0"/>
          <w:numId w:val="2"/>
        </w:numPr>
        <w:ind w:left="1260" w:leftChars="0" w:hanging="420" w:firstLineChars="0"/>
        <w:rPr>
          <w:rFonts w:hint="eastAsia"/>
          <w:lang w:val="en-US" w:eastAsia="zh-CN"/>
        </w:rPr>
      </w:pPr>
      <w:r>
        <w:rPr>
          <w:rFonts w:hint="eastAsia"/>
          <w:sz w:val="24"/>
          <w:szCs w:val="22"/>
          <w:lang w:val="en-US" w:eastAsia="zh-CN"/>
        </w:rPr>
        <w:t>掌握信息技术基础知识，具有适应本行业数字化和智能化发展需求的数字技能；</w:t>
      </w:r>
    </w:p>
    <w:p w14:paraId="4751F90B">
      <w:pPr>
        <w:numPr>
          <w:ilvl w:val="0"/>
          <w:numId w:val="2"/>
        </w:numPr>
        <w:ind w:left="1260" w:leftChars="0" w:hanging="420" w:firstLineChars="0"/>
        <w:rPr>
          <w:rFonts w:hint="eastAsia"/>
          <w:lang w:val="en-US" w:eastAsia="zh-CN"/>
        </w:rPr>
      </w:pPr>
      <w:r>
        <w:rPr>
          <w:rFonts w:hint="eastAsia"/>
          <w:sz w:val="24"/>
          <w:szCs w:val="22"/>
          <w:lang w:val="en-US" w:eastAsia="zh-CN"/>
        </w:rPr>
        <w:t>具有探究学习、终身学习和可持续发展的能力，具有整合知识和综合运用知识分析问题和解决问题的能力；</w:t>
      </w:r>
    </w:p>
    <w:p w14:paraId="10B9F054">
      <w:pPr>
        <w:numPr>
          <w:ilvl w:val="0"/>
          <w:numId w:val="2"/>
        </w:numPr>
        <w:ind w:left="1260" w:leftChars="0" w:hanging="420" w:firstLineChars="0"/>
        <w:rPr>
          <w:rFonts w:hint="eastAsia"/>
          <w:lang w:val="en-US" w:eastAsia="zh-CN"/>
        </w:rPr>
      </w:pPr>
      <w:r>
        <w:rPr>
          <w:rFonts w:hint="eastAsia"/>
          <w:sz w:val="24"/>
          <w:szCs w:val="22"/>
          <w:lang w:val="en-US" w:eastAsia="zh-CN"/>
        </w:rPr>
        <w:t>掌握身体运动的基本知识和至少</w:t>
      </w:r>
      <w:r>
        <w:rPr>
          <w:rFonts w:hint="default"/>
          <w:sz w:val="24"/>
          <w:szCs w:val="22"/>
          <w:lang w:val="en-US" w:eastAsia="zh-CN"/>
        </w:rPr>
        <w:t>1</w:t>
      </w:r>
      <w:r>
        <w:rPr>
          <w:rFonts w:hint="eastAsia"/>
          <w:sz w:val="24"/>
          <w:szCs w:val="22"/>
          <w:lang w:val="en-US" w:eastAsia="zh-CN"/>
        </w:rPr>
        <w:t>项体育运动技能，达到国家大学生体质健康测试合格标准，养成良好的运动习惯、卫生习惯和行为习惯；具备一定的心理调适能力</w:t>
      </w:r>
      <w:r>
        <w:rPr>
          <w:rFonts w:hint="eastAsia"/>
          <w:sz w:val="24"/>
          <w:szCs w:val="22"/>
          <w:lang w:eastAsia="zh-CN"/>
        </w:rPr>
        <w:t>；</w:t>
      </w:r>
    </w:p>
    <w:p w14:paraId="13951383">
      <w:pPr>
        <w:numPr>
          <w:ilvl w:val="0"/>
          <w:numId w:val="2"/>
        </w:numPr>
        <w:ind w:left="1260" w:leftChars="0" w:hanging="420" w:firstLineChars="0"/>
        <w:rPr>
          <w:rFonts w:hint="eastAsia"/>
          <w:lang w:val="en-US" w:eastAsia="zh-CN"/>
        </w:rPr>
      </w:pPr>
      <w:r>
        <w:rPr>
          <w:rFonts w:hint="eastAsia"/>
          <w:sz w:val="24"/>
          <w:szCs w:val="22"/>
          <w:lang w:val="en-US" w:eastAsia="zh-CN"/>
        </w:rPr>
        <w:t>掌握必备的美育知识，具有一定的文化修养、审美能力，形成至少</w:t>
      </w:r>
      <w:r>
        <w:rPr>
          <w:rFonts w:hint="default"/>
          <w:sz w:val="24"/>
          <w:szCs w:val="22"/>
          <w:lang w:val="en-US" w:eastAsia="zh-CN"/>
        </w:rPr>
        <w:t>1</w:t>
      </w:r>
      <w:r>
        <w:rPr>
          <w:rFonts w:hint="eastAsia"/>
          <w:sz w:val="24"/>
          <w:szCs w:val="22"/>
          <w:lang w:val="en-US" w:eastAsia="zh-CN"/>
        </w:rPr>
        <w:t>项艺术特长或爱好；</w:t>
      </w:r>
    </w:p>
    <w:p w14:paraId="4AFD53EB">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lang w:val="en-US" w:eastAsia="zh-CN"/>
        </w:rPr>
      </w:pPr>
      <w:r>
        <w:rPr>
          <w:rFonts w:hint="eastAsia"/>
          <w:sz w:val="24"/>
          <w:szCs w:val="22"/>
          <w:lang w:val="en-US" w:eastAsia="zh-CN"/>
        </w:rPr>
        <w:t>（2）专业能力</w:t>
      </w:r>
    </w:p>
    <w:p w14:paraId="11DDA111">
      <w:pPr>
        <w:numPr>
          <w:ilvl w:val="0"/>
          <w:numId w:val="2"/>
        </w:numPr>
        <w:ind w:left="1260" w:leftChars="0" w:hanging="420" w:firstLineChars="0"/>
        <w:rPr>
          <w:rFonts w:hint="eastAsia"/>
          <w:lang w:val="en-US" w:eastAsia="zh-CN"/>
        </w:rPr>
      </w:pPr>
      <w:r>
        <w:rPr>
          <w:rFonts w:hint="eastAsia"/>
          <w:sz w:val="24"/>
          <w:szCs w:val="22"/>
          <w:lang w:val="en-US" w:eastAsia="zh-CN"/>
        </w:rPr>
        <w:t>掌握常用溶液配制、微生物无菌操作、分析仪器设备使用和维护等技术技能，具有基础化学、分析化学、食品微生物、食品生物化学等基本操作的能力；</w:t>
      </w:r>
    </w:p>
    <w:p w14:paraId="0BC77E4C">
      <w:pPr>
        <w:numPr>
          <w:ilvl w:val="0"/>
          <w:numId w:val="2"/>
        </w:numPr>
        <w:ind w:left="1260" w:leftChars="0" w:hanging="420" w:firstLineChars="0"/>
        <w:rPr>
          <w:rFonts w:hint="eastAsia"/>
          <w:lang w:val="en-US" w:eastAsia="zh-CN"/>
        </w:rPr>
      </w:pPr>
      <w:r>
        <w:rPr>
          <w:rFonts w:hint="eastAsia"/>
          <w:sz w:val="24"/>
          <w:szCs w:val="22"/>
          <w:lang w:val="en-US" w:eastAsia="zh-CN"/>
        </w:rPr>
        <w:t>掌握食品标准与法律法规查询、解读和执行技术技能，掌握农产品食品采集及制备、感官分析、理化检测、微生物检测、仪器分析、快速检测、检测结果记录与分析、检验报告撰写等技术技能，具有农产品食品检验检测实践的能力；</w:t>
      </w:r>
    </w:p>
    <w:p w14:paraId="193F0B7A">
      <w:pPr>
        <w:numPr>
          <w:ilvl w:val="0"/>
          <w:numId w:val="2"/>
        </w:numPr>
        <w:ind w:left="1260" w:leftChars="0" w:hanging="420" w:firstLineChars="0"/>
        <w:rPr>
          <w:rFonts w:hint="eastAsia"/>
          <w:sz w:val="24"/>
          <w:szCs w:val="22"/>
          <w:lang w:val="en-US" w:eastAsia="zh-CN"/>
        </w:rPr>
      </w:pPr>
      <w:r>
        <w:rPr>
          <w:rFonts w:hint="eastAsia"/>
          <w:sz w:val="24"/>
          <w:szCs w:val="22"/>
          <w:lang w:val="en-US" w:eastAsia="zh-CN"/>
        </w:rPr>
        <w:t>掌握检测实验室卫生安全管理、质量控制、认证认可等技术技能，具有检测实验室管理与运行实践的能力；</w:t>
      </w:r>
    </w:p>
    <w:p w14:paraId="7C964F38">
      <w:pPr>
        <w:numPr>
          <w:ilvl w:val="0"/>
          <w:numId w:val="2"/>
        </w:numPr>
        <w:ind w:left="1260" w:leftChars="0" w:hanging="420" w:firstLineChars="0"/>
        <w:rPr>
          <w:rFonts w:hint="eastAsia"/>
          <w:sz w:val="24"/>
          <w:szCs w:val="22"/>
          <w:lang w:val="en-US" w:eastAsia="zh-CN"/>
        </w:rPr>
      </w:pPr>
      <w:r>
        <w:rPr>
          <w:rFonts w:hint="eastAsia"/>
          <w:sz w:val="24"/>
          <w:szCs w:val="22"/>
          <w:lang w:val="en-US" w:eastAsia="zh-CN"/>
        </w:rPr>
        <w:t>掌握食品加工安全风险分析、食品企业生产和管理规范实施，食品质量检验、包装材料质量检验和食品标签标识检验等技术技能，具有食品质量控制实践的能力；</w:t>
      </w:r>
    </w:p>
    <w:p w14:paraId="21812FED">
      <w:pPr>
        <w:numPr>
          <w:ilvl w:val="0"/>
          <w:numId w:val="2"/>
        </w:numPr>
        <w:ind w:left="1260" w:leftChars="0" w:hanging="420" w:firstLineChars="0"/>
        <w:rPr>
          <w:rFonts w:hint="eastAsia"/>
          <w:sz w:val="24"/>
          <w:szCs w:val="22"/>
          <w:lang w:val="en-US" w:eastAsia="zh-CN"/>
        </w:rPr>
      </w:pPr>
      <w:r>
        <w:rPr>
          <w:rFonts w:hint="eastAsia"/>
          <w:sz w:val="24"/>
          <w:szCs w:val="22"/>
          <w:lang w:val="en-US" w:eastAsia="zh-CN"/>
        </w:rPr>
        <w:t>掌握食品质量安全管理体系实施和内部审核等技术技能，具有食品质量安全管理实践的能力。</w:t>
      </w:r>
    </w:p>
    <w:p w14:paraId="15FD1FB0">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default" w:asciiTheme="majorEastAsia" w:hAnsiTheme="majorEastAsia" w:eastAsiaTheme="majorEastAsia" w:cstheme="majorEastAsia"/>
          <w:b/>
          <w:bCs/>
          <w:sz w:val="30"/>
          <w:szCs w:val="30"/>
          <w:lang w:val="en-US" w:eastAsia="zh-CN"/>
        </w:rPr>
      </w:pPr>
      <w:bookmarkStart w:id="31" w:name="_Toc30836"/>
      <w:bookmarkStart w:id="32" w:name="_Toc7364"/>
      <w:r>
        <w:rPr>
          <w:rFonts w:hint="eastAsia" w:asciiTheme="majorEastAsia" w:hAnsiTheme="majorEastAsia" w:eastAsiaTheme="majorEastAsia" w:cstheme="majorEastAsia"/>
          <w:b/>
          <w:bCs/>
          <w:sz w:val="30"/>
          <w:szCs w:val="30"/>
          <w:lang w:val="en-US" w:eastAsia="zh-CN"/>
        </w:rPr>
        <w:t>六、培养模式</w:t>
      </w:r>
      <w:bookmarkEnd w:id="31"/>
    </w:p>
    <w:p w14:paraId="60AC5F96">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33" w:name="_Toc32676"/>
      <w:r>
        <w:rPr>
          <w:rFonts w:hint="eastAsia" w:asciiTheme="minorEastAsia" w:hAnsiTheme="minorEastAsia" w:eastAsiaTheme="minorEastAsia" w:cstheme="minorEastAsia"/>
          <w:sz w:val="28"/>
          <w:szCs w:val="28"/>
          <w:lang w:val="en-US" w:eastAsia="zh-CN"/>
        </w:rPr>
        <w:t>（一）</w:t>
      </w:r>
      <w:r>
        <w:rPr>
          <w:rFonts w:hint="default" w:asciiTheme="minorEastAsia" w:hAnsiTheme="minorEastAsia" w:eastAsiaTheme="minorEastAsia" w:cstheme="minorEastAsia"/>
          <w:sz w:val="28"/>
          <w:szCs w:val="28"/>
          <w:lang w:val="en-US" w:eastAsia="zh-CN"/>
        </w:rPr>
        <w:t>指导思想​</w:t>
      </w:r>
      <w:bookmarkEnd w:id="33"/>
    </w:p>
    <w:p w14:paraId="046DCA59">
      <w:pPr>
        <w:pageBreakBefore w:val="0"/>
        <w:kinsoku/>
        <w:wordWrap/>
        <w:overflowPunct/>
        <w:topLinePunct w:val="0"/>
        <w:autoSpaceDE/>
        <w:autoSpaceDN/>
        <w:bidi w:val="0"/>
        <w:adjustRightInd/>
        <w:snapToGrid/>
        <w:spacing w:line="360" w:lineRule="auto"/>
        <w:ind w:left="0" w:leftChars="0" w:right="0" w:rightChars="0"/>
        <w:textAlignment w:val="auto"/>
        <w:rPr>
          <w:rFonts w:hint="default"/>
          <w:sz w:val="24"/>
          <w:szCs w:val="22"/>
          <w:highlight w:val="none"/>
          <w:lang w:val="en-US" w:eastAsia="zh-CN"/>
        </w:rPr>
      </w:pPr>
      <w:r>
        <w:rPr>
          <w:rFonts w:hint="default"/>
          <w:sz w:val="24"/>
          <w:szCs w:val="22"/>
          <w:highlight w:val="none"/>
          <w:lang w:val="en-US" w:eastAsia="zh-CN"/>
        </w:rPr>
        <w:t>以山东城市服务专业学院 “立足山东、服务区域、产教融合、育训结合” 的办学定位为指引，紧密对接山东省食品产业 “安全化、标准化、高端化” 发展需求，依托学院 “工学结合、知行合一” 的育人传统，深度融合食品检验检测技术专业 “强实践、重创新、精技能” 的特色，遵循学生从认知基础到职业能力进阶的成长规律，构建 “三阶段递进、双主体协同、多平台支撑” 的人才培养模式，为区域食品行业培养德技并修、全面发展的高素质技术技能人才。</w:t>
      </w:r>
    </w:p>
    <w:p w14:paraId="7FCE138D">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asciiTheme="minorEastAsia" w:hAnsiTheme="minorEastAsia" w:eastAsiaTheme="minorEastAsia" w:cstheme="minorEastAsia"/>
          <w:sz w:val="28"/>
          <w:szCs w:val="28"/>
          <w:lang w:val="en-US" w:eastAsia="zh-CN"/>
        </w:rPr>
      </w:pPr>
      <w:bookmarkStart w:id="34" w:name="_Toc28458"/>
      <w:r>
        <w:rPr>
          <w:rFonts w:hint="eastAsia" w:asciiTheme="minorEastAsia" w:hAnsiTheme="minorEastAsia" w:eastAsiaTheme="minorEastAsia" w:cstheme="minorEastAsia"/>
          <w:sz w:val="28"/>
          <w:szCs w:val="28"/>
          <w:lang w:val="en-US" w:eastAsia="zh-CN"/>
        </w:rPr>
        <w:t>（二）</w:t>
      </w:r>
      <w:r>
        <w:rPr>
          <w:rFonts w:hint="default" w:asciiTheme="minorEastAsia" w:hAnsiTheme="minorEastAsia" w:eastAsiaTheme="minorEastAsia" w:cstheme="minorEastAsia"/>
          <w:sz w:val="28"/>
          <w:szCs w:val="28"/>
          <w:lang w:val="en-US" w:eastAsia="zh-CN"/>
        </w:rPr>
        <w:t>人才培养目标​</w:t>
      </w:r>
      <w:bookmarkEnd w:id="34"/>
    </w:p>
    <w:p w14:paraId="6DD4A94D">
      <w:pPr>
        <w:pageBreakBefore w:val="0"/>
        <w:kinsoku/>
        <w:wordWrap/>
        <w:overflowPunct/>
        <w:topLinePunct w:val="0"/>
        <w:autoSpaceDE/>
        <w:autoSpaceDN/>
        <w:bidi w:val="0"/>
        <w:adjustRightInd/>
        <w:snapToGrid/>
        <w:spacing w:line="360" w:lineRule="auto"/>
        <w:ind w:left="0" w:leftChars="0" w:right="0" w:rightChars="0"/>
        <w:textAlignment w:val="auto"/>
        <w:rPr>
          <w:rFonts w:hint="default"/>
          <w:sz w:val="24"/>
          <w:szCs w:val="22"/>
          <w:highlight w:val="none"/>
          <w:lang w:val="en-US" w:eastAsia="zh-CN"/>
        </w:rPr>
      </w:pPr>
      <w:r>
        <w:rPr>
          <w:rFonts w:hint="default"/>
          <w:sz w:val="24"/>
          <w:szCs w:val="22"/>
          <w:highlight w:val="none"/>
          <w:lang w:val="en-US" w:eastAsia="zh-CN"/>
        </w:rPr>
        <w:t>面向山东省食品生产、加工、流通及监管领域，培养理想信念坚定，德、智、体、美、劳全面发展，掌握扎实的食品检验检测理论知识，具备熟练的理化分析、微生物检测、仪器操作、质量控制与安全管理等实践技能，能够从事食品原料检验、生产过程监控、成品质量检测、实验室管理及食品安全风险评估等工作，具有工匠精神、创新意识和可持续发展能力的高素质技术技能人才。</w:t>
      </w:r>
    </w:p>
    <w:p w14:paraId="5797F0BE">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asciiTheme="minorEastAsia" w:hAnsiTheme="minorEastAsia" w:eastAsiaTheme="minorEastAsia" w:cstheme="minorEastAsia"/>
          <w:sz w:val="28"/>
          <w:szCs w:val="28"/>
          <w:lang w:val="en-US" w:eastAsia="zh-CN"/>
        </w:rPr>
      </w:pPr>
      <w:bookmarkStart w:id="35" w:name="_Toc4929"/>
      <w:r>
        <w:rPr>
          <w:rFonts w:hint="eastAsia" w:asciiTheme="minorEastAsia" w:hAnsiTheme="minorEastAsia" w:eastAsiaTheme="minorEastAsia" w:cstheme="minorEastAsia"/>
          <w:sz w:val="28"/>
          <w:szCs w:val="28"/>
          <w:lang w:val="en-US" w:eastAsia="zh-CN"/>
        </w:rPr>
        <w:t>（三）</w:t>
      </w:r>
      <w:r>
        <w:rPr>
          <w:rFonts w:hint="default" w:asciiTheme="minorEastAsia" w:hAnsiTheme="minorEastAsia" w:eastAsiaTheme="minorEastAsia" w:cstheme="minorEastAsia"/>
          <w:sz w:val="28"/>
          <w:szCs w:val="28"/>
          <w:lang w:val="en-US" w:eastAsia="zh-CN"/>
        </w:rPr>
        <w:t>阶段递进式培养体系</w:t>
      </w:r>
      <w:bookmarkEnd w:id="35"/>
    </w:p>
    <w:p w14:paraId="4090D9A2">
      <w:pPr>
        <w:pageBreakBefore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eastAsia="宋体" w:cs="宋体"/>
          <w:b/>
          <w:kern w:val="2"/>
          <w:sz w:val="24"/>
          <w:szCs w:val="24"/>
          <w:lang w:val="en-US" w:eastAsia="zh-CN" w:bidi="zh-CN"/>
        </w:rPr>
      </w:pPr>
      <w:r>
        <w:rPr>
          <w:rFonts w:hint="eastAsia" w:ascii="宋体" w:hAnsi="宋体" w:cs="宋体"/>
          <w:b/>
          <w:kern w:val="2"/>
          <w:sz w:val="24"/>
          <w:szCs w:val="24"/>
          <w:lang w:val="en-US" w:eastAsia="zh-CN" w:bidi="zh-CN"/>
        </w:rPr>
        <w:t>1.</w:t>
      </w:r>
      <w:r>
        <w:rPr>
          <w:rFonts w:hint="default" w:ascii="宋体" w:hAnsi="宋体" w:eastAsia="宋体" w:cs="宋体"/>
          <w:b/>
          <w:kern w:val="2"/>
          <w:sz w:val="24"/>
          <w:szCs w:val="24"/>
          <w:lang w:val="en-US" w:eastAsia="zh-CN" w:bidi="zh-CN"/>
        </w:rPr>
        <w:t>基础认知阶段（第1-2学期）</w:t>
      </w:r>
    </w:p>
    <w:p w14:paraId="10DFECF5">
      <w:pPr>
        <w:pageBreakBefore w:val="0"/>
        <w:kinsoku/>
        <w:wordWrap/>
        <w:overflowPunct/>
        <w:topLinePunct w:val="0"/>
        <w:autoSpaceDE/>
        <w:autoSpaceDN/>
        <w:bidi w:val="0"/>
        <w:adjustRightInd/>
        <w:snapToGrid/>
        <w:spacing w:line="360" w:lineRule="auto"/>
        <w:ind w:left="0" w:leftChars="0" w:right="0" w:rightChars="0"/>
        <w:textAlignment w:val="auto"/>
        <w:rPr>
          <w:rFonts w:hint="default"/>
          <w:sz w:val="24"/>
          <w:szCs w:val="22"/>
          <w:highlight w:val="none"/>
          <w:lang w:val="en-US" w:eastAsia="zh-CN"/>
        </w:rPr>
      </w:pPr>
      <w:r>
        <w:rPr>
          <w:rFonts w:hint="default"/>
          <w:sz w:val="24"/>
          <w:szCs w:val="22"/>
          <w:highlight w:val="none"/>
          <w:lang w:val="en-US" w:eastAsia="zh-CN"/>
        </w:rPr>
        <w:t>此阶段以专业认知与基础能力培养为主，通过通识课程、专业基础课程学习，帮助学生构建食品检验检测专业基础知识框架。开设《食品化学》《食品微生物学基础》《分析化学》等课程，让学生掌握食品成分分析、微生物特性及基本化学分析原理；同时，安排参观食品企业生产线、检测实验室等实践活动，组织行业专家讲座，使学生了解食品行业现状与发展趋势，激发专业学习兴趣，初步形成职业认知。</w:t>
      </w:r>
    </w:p>
    <w:p w14:paraId="64042847">
      <w:pPr>
        <w:pageBreakBefore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cs="宋体"/>
          <w:b/>
          <w:kern w:val="2"/>
          <w:sz w:val="24"/>
          <w:szCs w:val="24"/>
          <w:lang w:val="en-US" w:eastAsia="zh-CN" w:bidi="zh-CN"/>
        </w:rPr>
      </w:pPr>
      <w:r>
        <w:rPr>
          <w:rFonts w:hint="eastAsia" w:ascii="宋体" w:hAnsi="宋体" w:cs="宋体"/>
          <w:b/>
          <w:kern w:val="2"/>
          <w:sz w:val="24"/>
          <w:szCs w:val="24"/>
          <w:lang w:val="en-US" w:eastAsia="zh-CN" w:bidi="zh-CN"/>
        </w:rPr>
        <w:t>2.</w:t>
      </w:r>
      <w:r>
        <w:rPr>
          <w:rFonts w:hint="default" w:ascii="宋体" w:hAnsi="宋体" w:cs="宋体"/>
          <w:b/>
          <w:kern w:val="2"/>
          <w:sz w:val="24"/>
          <w:szCs w:val="24"/>
          <w:lang w:val="en-US" w:eastAsia="zh-CN" w:bidi="zh-CN"/>
        </w:rPr>
        <w:t>专业技能提升阶段（第3-4学期）</w:t>
      </w:r>
    </w:p>
    <w:p w14:paraId="7B20CB75">
      <w:pPr>
        <w:pageBreakBefore w:val="0"/>
        <w:kinsoku/>
        <w:wordWrap/>
        <w:overflowPunct/>
        <w:topLinePunct w:val="0"/>
        <w:autoSpaceDE/>
        <w:autoSpaceDN/>
        <w:bidi w:val="0"/>
        <w:adjustRightInd/>
        <w:snapToGrid/>
        <w:spacing w:line="360" w:lineRule="auto"/>
        <w:ind w:left="0" w:leftChars="0" w:right="0" w:rightChars="0"/>
        <w:textAlignment w:val="auto"/>
        <w:rPr>
          <w:rFonts w:hint="default"/>
          <w:sz w:val="24"/>
          <w:szCs w:val="22"/>
          <w:highlight w:val="none"/>
          <w:lang w:val="en-US" w:eastAsia="zh-CN"/>
        </w:rPr>
      </w:pPr>
      <w:r>
        <w:rPr>
          <w:rFonts w:hint="default"/>
          <w:sz w:val="24"/>
          <w:szCs w:val="22"/>
          <w:highlight w:val="none"/>
          <w:lang w:val="en-US" w:eastAsia="zh-CN"/>
        </w:rPr>
        <w:t>聚焦食品检验检测核心技能培养，以专业核心课程为依托，强化实践教学。开设《食品理化检验技术》《食品微生物检验技术》《仪器分析》《食品感官检验》等课程，采用 “项目教学法”“任务驱动法”，将企业真实检测项目引入课堂，让学生在完成项目任务过程中熟练掌握各类检验检测技术与仪器操作技能。同时，安排学生进入校内实训基地，开展模拟检测项目实训，如食品中营养成分测定、农药残留检测、微生物菌落总数测定等，提升学生实践操作能力与解决实际问题能力。此外，鼓励学生参与技能竞赛、创新创业项目，培养创新思维与团队协作能力。</w:t>
      </w:r>
    </w:p>
    <w:p w14:paraId="0C697EAF">
      <w:pPr>
        <w:pageBreakBefore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cs="宋体"/>
          <w:b/>
          <w:kern w:val="2"/>
          <w:sz w:val="24"/>
          <w:szCs w:val="24"/>
          <w:lang w:val="en-US" w:eastAsia="zh-CN" w:bidi="zh-CN"/>
        </w:rPr>
      </w:pPr>
      <w:r>
        <w:rPr>
          <w:rFonts w:hint="eastAsia" w:ascii="宋体" w:hAnsi="宋体" w:cs="宋体"/>
          <w:b/>
          <w:kern w:val="2"/>
          <w:sz w:val="24"/>
          <w:szCs w:val="24"/>
          <w:lang w:val="en-US" w:eastAsia="zh-CN" w:bidi="zh-CN"/>
        </w:rPr>
        <w:t>3.</w:t>
      </w:r>
      <w:r>
        <w:rPr>
          <w:rFonts w:hint="default" w:ascii="宋体" w:hAnsi="宋体" w:cs="宋体"/>
          <w:b/>
          <w:kern w:val="2"/>
          <w:sz w:val="24"/>
          <w:szCs w:val="24"/>
          <w:lang w:val="en-US" w:eastAsia="zh-CN" w:bidi="zh-CN"/>
        </w:rPr>
        <w:t>综合实践与职业能力拓展阶段（第5-6学期）</w:t>
      </w:r>
    </w:p>
    <w:p w14:paraId="2D20C642">
      <w:pPr>
        <w:pageBreakBefore w:val="0"/>
        <w:kinsoku/>
        <w:wordWrap/>
        <w:overflowPunct/>
        <w:topLinePunct w:val="0"/>
        <w:autoSpaceDE/>
        <w:autoSpaceDN/>
        <w:bidi w:val="0"/>
        <w:adjustRightInd/>
        <w:snapToGrid/>
        <w:spacing w:line="360" w:lineRule="auto"/>
        <w:ind w:left="0" w:leftChars="0" w:right="0" w:rightChars="0"/>
        <w:textAlignment w:val="auto"/>
        <w:rPr>
          <w:rFonts w:hint="default"/>
          <w:sz w:val="24"/>
          <w:szCs w:val="22"/>
          <w:highlight w:val="none"/>
          <w:lang w:val="en-US" w:eastAsia="zh-CN"/>
        </w:rPr>
      </w:pPr>
      <w:r>
        <w:rPr>
          <w:rFonts w:hint="default"/>
          <w:sz w:val="24"/>
          <w:szCs w:val="22"/>
          <w:highlight w:val="none"/>
          <w:lang w:val="en-US" w:eastAsia="zh-CN"/>
        </w:rPr>
        <w:t>以企业顶岗实习、毕业设计为核心，深化产教融合，培养学生综合职业能力。学生进入合作企业进行顶岗实习，参与企业实际检验检测工作，在真实工作场景中进一步提升职业技能与职业素养；毕业设计选题紧密结合企业实际需求，学生在企业导师与校内导师共同指导下，完成食品检验检测相关课题研究，如新产品质量标准制定、食品安全隐患排查与改进等，提高学生综合运用专业知识解决实际问题的能力，实现从学生到职业人的角色转变。</w:t>
      </w:r>
    </w:p>
    <w:p w14:paraId="3C3845BA">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asciiTheme="minorEastAsia" w:hAnsiTheme="minorEastAsia" w:eastAsiaTheme="minorEastAsia" w:cstheme="minorEastAsia"/>
          <w:sz w:val="28"/>
          <w:szCs w:val="28"/>
          <w:lang w:val="en-US" w:eastAsia="zh-CN"/>
        </w:rPr>
      </w:pPr>
      <w:bookmarkStart w:id="36" w:name="_Toc2355"/>
      <w:r>
        <w:rPr>
          <w:rFonts w:hint="eastAsia" w:asciiTheme="minorEastAsia" w:hAnsiTheme="minorEastAsia" w:eastAsiaTheme="minorEastAsia" w:cstheme="minorEastAsia"/>
          <w:sz w:val="28"/>
          <w:szCs w:val="28"/>
          <w:lang w:val="en-US" w:eastAsia="zh-CN"/>
        </w:rPr>
        <w:t>（四）</w:t>
      </w:r>
      <w:r>
        <w:rPr>
          <w:rFonts w:hint="default" w:asciiTheme="minorEastAsia" w:hAnsiTheme="minorEastAsia" w:eastAsiaTheme="minorEastAsia" w:cstheme="minorEastAsia"/>
          <w:sz w:val="28"/>
          <w:szCs w:val="28"/>
          <w:lang w:val="en-US" w:eastAsia="zh-CN"/>
        </w:rPr>
        <w:t>双主体协同育人机制</w:t>
      </w:r>
      <w:bookmarkEnd w:id="36"/>
    </w:p>
    <w:p w14:paraId="68FC152B">
      <w:pPr>
        <w:pageBreakBefore w:val="0"/>
        <w:kinsoku/>
        <w:wordWrap/>
        <w:overflowPunct/>
        <w:topLinePunct w:val="0"/>
        <w:autoSpaceDE/>
        <w:autoSpaceDN/>
        <w:bidi w:val="0"/>
        <w:adjustRightInd/>
        <w:snapToGrid/>
        <w:spacing w:line="360" w:lineRule="auto"/>
        <w:ind w:left="0" w:leftChars="0" w:right="0" w:rightChars="0"/>
        <w:textAlignment w:val="auto"/>
        <w:rPr>
          <w:rFonts w:hint="default"/>
          <w:sz w:val="24"/>
          <w:szCs w:val="22"/>
          <w:highlight w:val="none"/>
          <w:lang w:val="en-US" w:eastAsia="zh-CN"/>
        </w:rPr>
      </w:pPr>
      <w:r>
        <w:rPr>
          <w:rFonts w:hint="default"/>
          <w:sz w:val="24"/>
          <w:szCs w:val="22"/>
          <w:highlight w:val="none"/>
          <w:lang w:val="en-US" w:eastAsia="zh-CN"/>
        </w:rPr>
        <w:t>建立学院与食品企业深度合作的双主体协同育人机制。学院与山东省内知名食品企业、第三方检测机构、市场监管部门等建立紧密合作关系，共同制定人才培养方案、开发课程资源、建设实训基地、组建教学团队。企业技术骨干与学院教师共同承担教学任务，企业为学生提供实习就业岗位、参与课程教学与实践指导；学院为企业开展员工培训、技术研发与咨询服务，实现校企资源共享、优势互补、合作共赢，确保人才培养与企业需求无缝对接。</w:t>
      </w:r>
    </w:p>
    <w:p w14:paraId="704C1FF4">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asciiTheme="minorEastAsia" w:hAnsiTheme="minorEastAsia" w:eastAsiaTheme="minorEastAsia" w:cstheme="minorEastAsia"/>
          <w:sz w:val="28"/>
          <w:szCs w:val="28"/>
          <w:lang w:val="en-US" w:eastAsia="zh-CN"/>
        </w:rPr>
      </w:pPr>
      <w:bookmarkStart w:id="37" w:name="_Toc4652"/>
      <w:r>
        <w:rPr>
          <w:rFonts w:hint="eastAsia" w:asciiTheme="minorEastAsia" w:hAnsiTheme="minorEastAsia" w:eastAsiaTheme="minorEastAsia" w:cstheme="minorEastAsia"/>
          <w:sz w:val="28"/>
          <w:szCs w:val="28"/>
          <w:lang w:val="en-US" w:eastAsia="zh-CN"/>
        </w:rPr>
        <w:t>（五）</w:t>
      </w:r>
      <w:r>
        <w:rPr>
          <w:rFonts w:hint="default" w:asciiTheme="minorEastAsia" w:hAnsiTheme="minorEastAsia" w:eastAsiaTheme="minorEastAsia" w:cstheme="minorEastAsia"/>
          <w:sz w:val="28"/>
          <w:szCs w:val="28"/>
          <w:lang w:val="en-US" w:eastAsia="zh-CN"/>
        </w:rPr>
        <w:t>多平台支撑保障</w:t>
      </w:r>
      <w:bookmarkEnd w:id="37"/>
    </w:p>
    <w:p w14:paraId="76A26189">
      <w:pPr>
        <w:pageBreakBefore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cs="宋体"/>
          <w:b/>
          <w:kern w:val="2"/>
          <w:sz w:val="24"/>
          <w:szCs w:val="24"/>
          <w:lang w:val="en-US" w:eastAsia="zh-CN" w:bidi="zh-CN"/>
        </w:rPr>
      </w:pPr>
      <w:r>
        <w:rPr>
          <w:rFonts w:hint="eastAsia" w:ascii="宋体" w:hAnsi="宋体" w:cs="宋体"/>
          <w:b/>
          <w:kern w:val="2"/>
          <w:sz w:val="24"/>
          <w:szCs w:val="24"/>
          <w:lang w:val="en-US" w:eastAsia="zh-CN" w:bidi="zh-CN"/>
        </w:rPr>
        <w:t>1.</w:t>
      </w:r>
      <w:r>
        <w:rPr>
          <w:rFonts w:hint="default" w:ascii="宋体" w:hAnsi="宋体" w:cs="宋体"/>
          <w:b/>
          <w:kern w:val="2"/>
          <w:sz w:val="24"/>
          <w:szCs w:val="24"/>
          <w:lang w:val="en-US" w:eastAsia="zh-CN" w:bidi="zh-CN"/>
        </w:rPr>
        <w:t>课程资源平台​</w:t>
      </w:r>
    </w:p>
    <w:p w14:paraId="3ACFF063">
      <w:pPr>
        <w:pageBreakBefore w:val="0"/>
        <w:kinsoku/>
        <w:wordWrap/>
        <w:overflowPunct/>
        <w:topLinePunct w:val="0"/>
        <w:autoSpaceDE/>
        <w:autoSpaceDN/>
        <w:bidi w:val="0"/>
        <w:adjustRightInd/>
        <w:snapToGrid/>
        <w:spacing w:line="360" w:lineRule="auto"/>
        <w:ind w:left="0" w:leftChars="0" w:right="0" w:rightChars="0"/>
        <w:textAlignment w:val="auto"/>
        <w:rPr>
          <w:rFonts w:hint="default"/>
          <w:sz w:val="24"/>
          <w:szCs w:val="22"/>
          <w:highlight w:val="none"/>
          <w:lang w:val="en-US" w:eastAsia="zh-CN"/>
        </w:rPr>
      </w:pPr>
      <w:r>
        <w:rPr>
          <w:rFonts w:hint="default"/>
          <w:sz w:val="24"/>
          <w:szCs w:val="22"/>
          <w:highlight w:val="none"/>
          <w:lang w:val="en-US" w:eastAsia="zh-CN"/>
        </w:rPr>
        <w:t>构建模块化课程体系，整合线上线下教学资源。开发食品检验检测专业精品在线开放课程，建设课程资源库，包含教学视频、电子教材、案例库、试题库等资源，为学生自主学习提供支持；同时，根据行业技术发展与企业需求，及时更新课程内容，融入新技术、新标准、新规范，确保课程内容的先进性与实用性。​</w:t>
      </w:r>
    </w:p>
    <w:p w14:paraId="70AA1AB4">
      <w:pPr>
        <w:pageBreakBefore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cs="宋体"/>
          <w:b/>
          <w:kern w:val="2"/>
          <w:sz w:val="24"/>
          <w:szCs w:val="24"/>
          <w:lang w:val="en-US" w:eastAsia="zh-CN" w:bidi="zh-CN"/>
        </w:rPr>
      </w:pPr>
      <w:r>
        <w:rPr>
          <w:rFonts w:hint="eastAsia" w:ascii="宋体" w:hAnsi="宋体" w:cs="宋体"/>
          <w:b/>
          <w:kern w:val="2"/>
          <w:sz w:val="24"/>
          <w:szCs w:val="24"/>
          <w:lang w:val="en-US" w:eastAsia="zh-CN" w:bidi="zh-CN"/>
        </w:rPr>
        <w:t>2.</w:t>
      </w:r>
      <w:r>
        <w:rPr>
          <w:rFonts w:hint="default" w:ascii="宋体" w:hAnsi="宋体" w:cs="宋体"/>
          <w:b/>
          <w:kern w:val="2"/>
          <w:sz w:val="24"/>
          <w:szCs w:val="24"/>
          <w:lang w:val="en-US" w:eastAsia="zh-CN" w:bidi="zh-CN"/>
        </w:rPr>
        <w:t>实训实践平台​</w:t>
      </w:r>
    </w:p>
    <w:p w14:paraId="211DB098">
      <w:pPr>
        <w:pageBreakBefore w:val="0"/>
        <w:kinsoku/>
        <w:wordWrap/>
        <w:overflowPunct/>
        <w:topLinePunct w:val="0"/>
        <w:autoSpaceDE/>
        <w:autoSpaceDN/>
        <w:bidi w:val="0"/>
        <w:adjustRightInd/>
        <w:snapToGrid/>
        <w:spacing w:line="360" w:lineRule="auto"/>
        <w:ind w:left="0" w:leftChars="0" w:right="0" w:rightChars="0"/>
        <w:textAlignment w:val="auto"/>
        <w:rPr>
          <w:rFonts w:hint="default"/>
          <w:sz w:val="24"/>
          <w:szCs w:val="22"/>
          <w:highlight w:val="none"/>
          <w:lang w:val="en-US" w:eastAsia="zh-CN"/>
        </w:rPr>
      </w:pPr>
      <w:r>
        <w:rPr>
          <w:rFonts w:hint="default"/>
          <w:sz w:val="24"/>
          <w:szCs w:val="22"/>
          <w:highlight w:val="none"/>
          <w:lang w:val="en-US" w:eastAsia="zh-CN"/>
        </w:rPr>
        <w:t>完善校内实训基地建设，按照企业真实检测实验室标准，建设食品理化分析实训室、微生物检测实训室、仪器分析实训室等，配备先进的检验检测设备，满足学生实践教学需求；加强校外实习基地建设，拓展优质合作企业，为学生提供稳定的顶岗实习与就业渠道；鼓励学生参与产学研合作项目，利用学院科研平台，开展食品检验检测技术研究与创新实践。​</w:t>
      </w:r>
    </w:p>
    <w:p w14:paraId="5E42C644">
      <w:pPr>
        <w:pageBreakBefore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cs="宋体"/>
          <w:b/>
          <w:kern w:val="2"/>
          <w:sz w:val="24"/>
          <w:szCs w:val="24"/>
          <w:lang w:val="en-US" w:eastAsia="zh-CN" w:bidi="zh-CN"/>
        </w:rPr>
      </w:pPr>
      <w:r>
        <w:rPr>
          <w:rFonts w:hint="eastAsia" w:ascii="宋体" w:hAnsi="宋体" w:cs="宋体"/>
          <w:b/>
          <w:kern w:val="2"/>
          <w:sz w:val="24"/>
          <w:szCs w:val="24"/>
          <w:lang w:val="en-US" w:eastAsia="zh-CN" w:bidi="zh-CN"/>
        </w:rPr>
        <w:t>3.</w:t>
      </w:r>
      <w:r>
        <w:rPr>
          <w:rFonts w:hint="default" w:ascii="宋体" w:hAnsi="宋体" w:cs="宋体"/>
          <w:b/>
          <w:kern w:val="2"/>
          <w:sz w:val="24"/>
          <w:szCs w:val="24"/>
          <w:lang w:val="en-US" w:eastAsia="zh-CN" w:bidi="zh-CN"/>
        </w:rPr>
        <w:t>师资队伍平台​</w:t>
      </w:r>
    </w:p>
    <w:p w14:paraId="69A1DE55">
      <w:pPr>
        <w:pageBreakBefore w:val="0"/>
        <w:kinsoku/>
        <w:wordWrap/>
        <w:overflowPunct/>
        <w:topLinePunct w:val="0"/>
        <w:autoSpaceDE/>
        <w:autoSpaceDN/>
        <w:bidi w:val="0"/>
        <w:adjustRightInd/>
        <w:snapToGrid/>
        <w:spacing w:line="360" w:lineRule="auto"/>
        <w:ind w:left="0" w:leftChars="0" w:right="0" w:rightChars="0"/>
        <w:textAlignment w:val="auto"/>
        <w:rPr>
          <w:rFonts w:hint="default"/>
          <w:sz w:val="24"/>
          <w:szCs w:val="22"/>
          <w:highlight w:val="none"/>
          <w:lang w:val="en-US" w:eastAsia="zh-CN"/>
        </w:rPr>
      </w:pPr>
      <w:r>
        <w:rPr>
          <w:rFonts w:hint="default"/>
          <w:sz w:val="24"/>
          <w:szCs w:val="22"/>
          <w:highlight w:val="none"/>
          <w:lang w:val="en-US" w:eastAsia="zh-CN"/>
        </w:rPr>
        <w:t>打造 “双师型” 教学团队，通过内部培养与外部引进相结合的方式，提升教师队伍整体素质。选派教师到企业实践锻炼，参与企业技术研发与生产管理，提高教师实践教学能力；聘请企业技术骨干、行业专家担任兼职教师，参与专业教学与实践指导，丰富教学内容与教学形式；开展教师教学能力培训与教研活动，促进教师教学水平与专业素养提升。​</w:t>
      </w:r>
    </w:p>
    <w:p w14:paraId="6513B527">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asciiTheme="minorEastAsia" w:hAnsiTheme="minorEastAsia" w:eastAsiaTheme="minorEastAsia" w:cstheme="minorEastAsia"/>
          <w:sz w:val="28"/>
          <w:szCs w:val="28"/>
          <w:lang w:val="en-US" w:eastAsia="zh-CN"/>
        </w:rPr>
      </w:pPr>
      <w:bookmarkStart w:id="38" w:name="_Toc17028"/>
      <w:r>
        <w:rPr>
          <w:rFonts w:hint="eastAsia" w:asciiTheme="minorEastAsia" w:hAnsiTheme="minorEastAsia" w:eastAsiaTheme="minorEastAsia" w:cstheme="minorEastAsia"/>
          <w:sz w:val="28"/>
          <w:szCs w:val="28"/>
          <w:lang w:val="en-US" w:eastAsia="zh-CN"/>
        </w:rPr>
        <w:t>（六）</w:t>
      </w:r>
      <w:r>
        <w:rPr>
          <w:rFonts w:hint="default" w:asciiTheme="minorEastAsia" w:hAnsiTheme="minorEastAsia" w:eastAsiaTheme="minorEastAsia" w:cstheme="minorEastAsia"/>
          <w:sz w:val="28"/>
          <w:szCs w:val="28"/>
          <w:lang w:val="en-US" w:eastAsia="zh-CN"/>
        </w:rPr>
        <w:t>质量评价与持续改进​</w:t>
      </w:r>
      <w:bookmarkEnd w:id="38"/>
    </w:p>
    <w:p w14:paraId="5694FF59">
      <w:pPr>
        <w:pageBreakBefore w:val="0"/>
        <w:kinsoku/>
        <w:wordWrap/>
        <w:overflowPunct/>
        <w:topLinePunct w:val="0"/>
        <w:autoSpaceDE/>
        <w:autoSpaceDN/>
        <w:bidi w:val="0"/>
        <w:adjustRightInd/>
        <w:snapToGrid/>
        <w:spacing w:line="360" w:lineRule="auto"/>
        <w:ind w:left="0" w:leftChars="0" w:right="0" w:rightChars="0"/>
        <w:textAlignment w:val="auto"/>
        <w:rPr>
          <w:rFonts w:hint="default"/>
          <w:sz w:val="24"/>
          <w:szCs w:val="22"/>
          <w:highlight w:val="none"/>
          <w:lang w:val="en-US" w:eastAsia="zh-CN"/>
        </w:rPr>
      </w:pPr>
      <w:r>
        <w:rPr>
          <w:rFonts w:hint="default"/>
          <w:sz w:val="24"/>
          <w:szCs w:val="22"/>
          <w:highlight w:val="none"/>
          <w:lang w:val="en-US" w:eastAsia="zh-CN"/>
        </w:rPr>
        <w:t>建立多元化人才培养质量评价体系，采用过程性评价与终结性评价相结合、校内评价与企业评价相结合、理论考核与实践考核相结合的方式，全面评价学生的学习成果与职业能力。定期开展毕业生跟踪调查与企业满意度调查，收集用人单位对毕业生的反馈意见，分析人才培养过程中存在的问题；根据行业发展动态与企业需求变化，及时调整人才培养方案、优化课程设置、改进教学方法，持续提升人才培养质量，确保人才培养模式的适应性与有效性。</w:t>
      </w:r>
    </w:p>
    <w:p w14:paraId="34BA680A">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highlight w:val="none"/>
          <w:lang w:val="en-US" w:eastAsia="zh-CN"/>
        </w:rPr>
      </w:pPr>
    </w:p>
    <w:p w14:paraId="2FF2ED75">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39" w:name="_Toc27811"/>
      <w:r>
        <w:rPr>
          <w:rFonts w:hint="eastAsia" w:asciiTheme="majorEastAsia" w:hAnsiTheme="majorEastAsia" w:eastAsiaTheme="majorEastAsia" w:cstheme="majorEastAsia"/>
          <w:b/>
          <w:bCs/>
          <w:sz w:val="30"/>
          <w:szCs w:val="30"/>
          <w:lang w:val="en-US" w:eastAsia="zh-CN"/>
        </w:rPr>
        <w:t>七、课程设置及要求</w:t>
      </w:r>
      <w:bookmarkEnd w:id="32"/>
      <w:bookmarkEnd w:id="39"/>
    </w:p>
    <w:p w14:paraId="3BC1A156">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highlight w:val="none"/>
          <w:lang w:val="en-US" w:eastAsia="zh-CN"/>
        </w:rPr>
      </w:pPr>
      <w:bookmarkStart w:id="40" w:name="_Toc9726"/>
      <w:bookmarkStart w:id="41" w:name="_Toc25517"/>
      <w:bookmarkStart w:id="42" w:name="_Toc8509"/>
      <w:bookmarkStart w:id="43" w:name="_Hlk126484141"/>
      <w:r>
        <w:rPr>
          <w:rFonts w:hint="eastAsia" w:asciiTheme="minorEastAsia" w:hAnsiTheme="minorEastAsia" w:eastAsiaTheme="minorEastAsia" w:cstheme="minorEastAsia"/>
          <w:sz w:val="28"/>
          <w:szCs w:val="28"/>
          <w:highlight w:val="none"/>
          <w:lang w:val="en-US" w:eastAsia="zh-CN"/>
        </w:rPr>
        <w:t>（一）课程体系构建思路</w:t>
      </w:r>
      <w:bookmarkEnd w:id="40"/>
    </w:p>
    <w:p w14:paraId="6FD28AE1">
      <w:pPr>
        <w:rPr>
          <w:rFonts w:hint="default"/>
          <w:lang w:val="en-US" w:eastAsia="zh-CN"/>
        </w:rPr>
      </w:pPr>
    </w:p>
    <w:p w14:paraId="2E2E2C9F">
      <w:pPr>
        <w:ind w:left="0" w:leftChars="0" w:firstLine="0" w:firstLineChars="0"/>
        <w:rPr>
          <w:rFonts w:hint="default"/>
          <w:highlight w:val="red"/>
          <w:lang w:val="en-US" w:eastAsia="zh-CN"/>
        </w:rPr>
      </w:pPr>
      <w:r>
        <w:rPr>
          <w:rFonts w:hint="default"/>
          <w:highlight w:val="red"/>
          <w:lang w:val="en-US" w:eastAsia="zh-CN"/>
        </w:rPr>
        <w:drawing>
          <wp:inline distT="0" distB="0" distL="114300" distR="114300">
            <wp:extent cx="5431790" cy="3697605"/>
            <wp:effectExtent l="0" t="0" r="6985" b="7620"/>
            <wp:docPr id="7" name="图片 7" descr="8e697b1e76b6b9bc8bef24229e3d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e697b1e76b6b9bc8bef24229e3dbe0"/>
                    <pic:cNvPicPr>
                      <a:picLocks noChangeAspect="1"/>
                    </pic:cNvPicPr>
                  </pic:nvPicPr>
                  <pic:blipFill>
                    <a:blip r:embed="rId14"/>
                    <a:stretch>
                      <a:fillRect/>
                    </a:stretch>
                  </pic:blipFill>
                  <pic:spPr>
                    <a:xfrm>
                      <a:off x="0" y="0"/>
                      <a:ext cx="5431790" cy="3697605"/>
                    </a:xfrm>
                    <a:prstGeom prst="rect">
                      <a:avLst/>
                    </a:prstGeom>
                  </pic:spPr>
                </pic:pic>
              </a:graphicData>
            </a:graphic>
          </wp:inline>
        </w:drawing>
      </w:r>
    </w:p>
    <w:p w14:paraId="7F86382C">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t>图7-1  食品检验检测技术专业的职业岗位、典型工作任务及学习领域划分</w:t>
      </w:r>
    </w:p>
    <w:p w14:paraId="18FBF270">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14:paraId="3D04DE13">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t>表7-1   典型工作任务与课程支撑关系表</w:t>
      </w:r>
    </w:p>
    <w:tbl>
      <w:tblPr>
        <w:tblStyle w:val="27"/>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775"/>
        <w:gridCol w:w="4100"/>
        <w:gridCol w:w="2399"/>
      </w:tblGrid>
      <w:tr w14:paraId="5532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38" w:type="dxa"/>
            <w:shd w:val="clear" w:color="auto" w:fill="B8CCE4" w:themeFill="accent1" w:themeFillTint="66"/>
            <w:noWrap w:val="0"/>
            <w:vAlign w:val="center"/>
          </w:tcPr>
          <w:p w14:paraId="61B04FC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序号</w:t>
            </w:r>
          </w:p>
        </w:tc>
        <w:tc>
          <w:tcPr>
            <w:tcW w:w="1775" w:type="dxa"/>
            <w:shd w:val="clear" w:color="auto" w:fill="B8CCE4" w:themeFill="accent1" w:themeFillTint="66"/>
            <w:noWrap w:val="0"/>
            <w:vAlign w:val="center"/>
          </w:tcPr>
          <w:p w14:paraId="4E7AB9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典型工作任务</w:t>
            </w:r>
          </w:p>
        </w:tc>
        <w:tc>
          <w:tcPr>
            <w:tcW w:w="4100" w:type="dxa"/>
            <w:shd w:val="clear" w:color="auto" w:fill="B8CCE4" w:themeFill="accent1" w:themeFillTint="66"/>
            <w:noWrap w:val="0"/>
            <w:vAlign w:val="center"/>
          </w:tcPr>
          <w:p w14:paraId="2E8A212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职业能力</w:t>
            </w:r>
          </w:p>
        </w:tc>
        <w:tc>
          <w:tcPr>
            <w:tcW w:w="2399" w:type="dxa"/>
            <w:shd w:val="clear" w:color="auto" w:fill="B8CCE4" w:themeFill="accent1" w:themeFillTint="66"/>
            <w:noWrap w:val="0"/>
            <w:vAlign w:val="center"/>
          </w:tcPr>
          <w:p w14:paraId="3A6488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培养途径（主要课程）</w:t>
            </w:r>
          </w:p>
        </w:tc>
      </w:tr>
      <w:tr w14:paraId="2CCC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38" w:type="dxa"/>
            <w:noWrap w:val="0"/>
            <w:vAlign w:val="center"/>
          </w:tcPr>
          <w:p w14:paraId="33A5F82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1775" w:type="dxa"/>
            <w:noWrap w:val="0"/>
            <w:vAlign w:val="center"/>
          </w:tcPr>
          <w:p w14:paraId="1F65483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食品原料与成品检验检测</w:t>
            </w:r>
          </w:p>
        </w:tc>
        <w:tc>
          <w:tcPr>
            <w:tcW w:w="4100" w:type="dxa"/>
            <w:noWrap w:val="0"/>
            <w:vAlign w:val="center"/>
          </w:tcPr>
          <w:p w14:paraId="4576359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 熟练使用各类分析仪器（如色谱仪、光谱仪）</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掌握食品理化指标、微生物、毒素等检测方法</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数据处理与报告撰写能力</w:t>
            </w:r>
          </w:p>
        </w:tc>
        <w:tc>
          <w:tcPr>
            <w:tcW w:w="2399" w:type="dxa"/>
            <w:noWrap w:val="0"/>
            <w:vAlign w:val="center"/>
          </w:tcPr>
          <w:p w14:paraId="3AF73EF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en-US" w:eastAsia="zh-CN"/>
              </w:rPr>
              <w:t>分析化学</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食品微生物学</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食品分析</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仪器分析</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食品安全与卫生</w:t>
            </w:r>
          </w:p>
        </w:tc>
      </w:tr>
      <w:tr w14:paraId="4868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8" w:type="dxa"/>
            <w:noWrap w:val="0"/>
            <w:vAlign w:val="center"/>
          </w:tcPr>
          <w:p w14:paraId="72FDFE5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1775" w:type="dxa"/>
            <w:noWrap w:val="0"/>
            <w:vAlign w:val="center"/>
          </w:tcPr>
          <w:p w14:paraId="491BD1A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食品生产工艺设计与优化</w:t>
            </w:r>
          </w:p>
        </w:tc>
        <w:tc>
          <w:tcPr>
            <w:tcW w:w="4100" w:type="dxa"/>
            <w:noWrap w:val="0"/>
            <w:vAlign w:val="center"/>
          </w:tcPr>
          <w:p w14:paraId="2677806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 熟悉食品加工流程（如焙烤、发酵、杀菌）</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工艺参数控制与成本核算能力</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新产品研发与工艺改良能力</w:t>
            </w:r>
          </w:p>
        </w:tc>
        <w:tc>
          <w:tcPr>
            <w:tcW w:w="2399" w:type="dxa"/>
            <w:noWrap w:val="0"/>
            <w:vAlign w:val="center"/>
          </w:tcPr>
          <w:p w14:paraId="1FBA998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 食品工艺学（如焙烤食品工艺）</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食品添加剂及应用</w:t>
            </w:r>
          </w:p>
        </w:tc>
      </w:tr>
      <w:tr w14:paraId="02D3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38" w:type="dxa"/>
            <w:noWrap w:val="0"/>
            <w:vAlign w:val="center"/>
          </w:tcPr>
          <w:p w14:paraId="2A6205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1775" w:type="dxa"/>
            <w:noWrap w:val="0"/>
            <w:vAlign w:val="center"/>
          </w:tcPr>
          <w:p w14:paraId="28254D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食品安全监督与质量管理</w:t>
            </w:r>
          </w:p>
        </w:tc>
        <w:tc>
          <w:tcPr>
            <w:tcW w:w="4100" w:type="dxa"/>
            <w:noWrap w:val="0"/>
            <w:vAlign w:val="center"/>
          </w:tcPr>
          <w:p w14:paraId="1B788E0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 掌握食品安全国家标准与法规</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具备食品生产过程质量监控（如 HACCP、ISO）</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食品安全风险评估与应急处理能力</w:t>
            </w:r>
          </w:p>
        </w:tc>
        <w:tc>
          <w:tcPr>
            <w:tcW w:w="2399" w:type="dxa"/>
            <w:noWrap w:val="0"/>
            <w:vAlign w:val="center"/>
          </w:tcPr>
          <w:p w14:paraId="7977424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 食品安全监督管理</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食品质量管理</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食品标准</w:t>
            </w:r>
            <w:r>
              <w:rPr>
                <w:rFonts w:hint="eastAsia" w:asciiTheme="minorEastAsia" w:hAnsiTheme="minorEastAsia" w:eastAsiaTheme="minorEastAsia" w:cstheme="minorEastAsia"/>
                <w:color w:val="auto"/>
                <w:kern w:val="0"/>
                <w:sz w:val="21"/>
                <w:szCs w:val="21"/>
                <w:highlight w:val="none"/>
                <w:lang w:val="en-US" w:eastAsia="zh-CN"/>
              </w:rPr>
              <w:t>与法规</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食品微生物检验</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食品毒理学</w:t>
            </w:r>
          </w:p>
        </w:tc>
      </w:tr>
      <w:tr w14:paraId="22DE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38" w:type="dxa"/>
            <w:noWrap w:val="0"/>
            <w:vAlign w:val="center"/>
          </w:tcPr>
          <w:p w14:paraId="2497251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1775" w:type="dxa"/>
            <w:noWrap w:val="0"/>
            <w:vAlign w:val="center"/>
          </w:tcPr>
          <w:p w14:paraId="34C9869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食品添加剂合理使用与管理</w:t>
            </w:r>
          </w:p>
        </w:tc>
        <w:tc>
          <w:tcPr>
            <w:tcW w:w="4100" w:type="dxa"/>
            <w:noWrap w:val="0"/>
            <w:vAlign w:val="center"/>
          </w:tcPr>
          <w:p w14:paraId="550DE0F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 熟悉各类食品添加剂功能与使用规范</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添加剂复配技术与安全性评估能力</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合规性审核与风险预警能力</w:t>
            </w:r>
          </w:p>
        </w:tc>
        <w:tc>
          <w:tcPr>
            <w:tcW w:w="2399" w:type="dxa"/>
            <w:noWrap w:val="0"/>
            <w:vAlign w:val="center"/>
          </w:tcPr>
          <w:p w14:paraId="78FF6BB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 食品添加剂及应用</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食品安全与卫生</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食品化学</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食品毒理学</w:t>
            </w:r>
          </w:p>
        </w:tc>
      </w:tr>
      <w:tr w14:paraId="46CA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38" w:type="dxa"/>
            <w:noWrap w:val="0"/>
            <w:vAlign w:val="center"/>
          </w:tcPr>
          <w:p w14:paraId="1C6500D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w:t>
            </w:r>
          </w:p>
        </w:tc>
        <w:tc>
          <w:tcPr>
            <w:tcW w:w="1775" w:type="dxa"/>
            <w:noWrap w:val="0"/>
            <w:vAlign w:val="center"/>
          </w:tcPr>
          <w:p w14:paraId="524C7A0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食品营养分析与健康管理</w:t>
            </w:r>
          </w:p>
        </w:tc>
        <w:tc>
          <w:tcPr>
            <w:tcW w:w="4100" w:type="dxa"/>
            <w:noWrap w:val="0"/>
            <w:vAlign w:val="center"/>
          </w:tcPr>
          <w:p w14:paraId="21EA821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 营养成分检测与膳食搭配设计能力</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慢性病饮食干预方案制定</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营养标签解读与公众科普能力</w:t>
            </w:r>
          </w:p>
        </w:tc>
        <w:tc>
          <w:tcPr>
            <w:tcW w:w="2399" w:type="dxa"/>
            <w:noWrap w:val="0"/>
            <w:vAlign w:val="center"/>
          </w:tcPr>
          <w:p w14:paraId="78292CC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 食品营养与健康</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营养学基础</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食品化学</w:t>
            </w:r>
          </w:p>
        </w:tc>
      </w:tr>
      <w:tr w14:paraId="0382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38" w:type="dxa"/>
            <w:noWrap w:val="0"/>
            <w:vAlign w:val="center"/>
          </w:tcPr>
          <w:p w14:paraId="33047ED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1775" w:type="dxa"/>
            <w:noWrap w:val="0"/>
            <w:vAlign w:val="center"/>
          </w:tcPr>
          <w:p w14:paraId="7E5676D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食品仓储与物流管理</w:t>
            </w:r>
          </w:p>
        </w:tc>
        <w:tc>
          <w:tcPr>
            <w:tcW w:w="4100" w:type="dxa"/>
            <w:noWrap w:val="0"/>
            <w:vAlign w:val="center"/>
          </w:tcPr>
          <w:p w14:paraId="1D93DA3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 食品储存条件控制（如温湿度、保质期）</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冷链物流流程设计</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仓储安全管理与损耗控制能力</w:t>
            </w:r>
          </w:p>
        </w:tc>
        <w:tc>
          <w:tcPr>
            <w:tcW w:w="2399" w:type="dxa"/>
            <w:noWrap w:val="0"/>
            <w:vAlign w:val="center"/>
          </w:tcPr>
          <w:p w14:paraId="755CE75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 食品安全与卫生</w:t>
            </w:r>
          </w:p>
        </w:tc>
      </w:tr>
      <w:tr w14:paraId="6995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38" w:type="dxa"/>
            <w:noWrap w:val="0"/>
            <w:vAlign w:val="center"/>
          </w:tcPr>
          <w:p w14:paraId="5840F56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w:t>
            </w:r>
          </w:p>
        </w:tc>
        <w:tc>
          <w:tcPr>
            <w:tcW w:w="1775" w:type="dxa"/>
            <w:noWrap w:val="0"/>
            <w:vAlign w:val="center"/>
          </w:tcPr>
          <w:p w14:paraId="1DC8194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食品行业技术服务与营销</w:t>
            </w:r>
          </w:p>
        </w:tc>
        <w:tc>
          <w:tcPr>
            <w:tcW w:w="4100" w:type="dxa"/>
            <w:noWrap w:val="0"/>
            <w:vAlign w:val="center"/>
          </w:tcPr>
          <w:p w14:paraId="017FF2B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 食品检测报告解读与客户沟通能力</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食品质量投诉处理</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健康食品市场调研与推广能力</w:t>
            </w:r>
          </w:p>
        </w:tc>
        <w:tc>
          <w:tcPr>
            <w:tcW w:w="2399" w:type="dxa"/>
            <w:noWrap w:val="0"/>
            <w:vAlign w:val="center"/>
          </w:tcPr>
          <w:p w14:paraId="3F0B069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 食品标准与法规</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食品感官评价</w:t>
            </w:r>
          </w:p>
        </w:tc>
      </w:tr>
      <w:tr w14:paraId="0B37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38" w:type="dxa"/>
            <w:noWrap w:val="0"/>
            <w:vAlign w:val="center"/>
          </w:tcPr>
          <w:p w14:paraId="20F1163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w:t>
            </w:r>
          </w:p>
        </w:tc>
        <w:tc>
          <w:tcPr>
            <w:tcW w:w="1775" w:type="dxa"/>
            <w:noWrap w:val="0"/>
            <w:vAlign w:val="center"/>
          </w:tcPr>
          <w:p w14:paraId="06A93D8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食品企业生产管理与成本核算</w:t>
            </w:r>
          </w:p>
        </w:tc>
        <w:tc>
          <w:tcPr>
            <w:tcW w:w="4100" w:type="dxa"/>
            <w:noWrap w:val="0"/>
            <w:vAlign w:val="center"/>
          </w:tcPr>
          <w:p w14:paraId="21F2E6C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 生产计划制定与车间调度能力</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生产成本核算与效率优化</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安全生产与环保合规管理能力</w:t>
            </w:r>
          </w:p>
        </w:tc>
        <w:tc>
          <w:tcPr>
            <w:tcW w:w="2399" w:type="dxa"/>
            <w:noWrap w:val="0"/>
            <w:vAlign w:val="center"/>
          </w:tcPr>
          <w:p w14:paraId="05D3EFF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 食品质量管理</w:t>
            </w:r>
            <w:r>
              <w:rPr>
                <w:rFonts w:hint="default" w:asciiTheme="minorEastAsia" w:hAnsiTheme="minorEastAsia" w:eastAsiaTheme="minorEastAsia" w:cstheme="minorEastAsia"/>
                <w:color w:val="auto"/>
                <w:kern w:val="0"/>
                <w:sz w:val="21"/>
                <w:szCs w:val="21"/>
                <w:highlight w:val="none"/>
                <w:lang w:val="en-US" w:eastAsia="zh-CN"/>
              </w:rPr>
              <w:br w:type="textWrapping"/>
            </w:r>
            <w:r>
              <w:rPr>
                <w:rFonts w:hint="default" w:asciiTheme="minorEastAsia" w:hAnsiTheme="minorEastAsia" w:eastAsiaTheme="minorEastAsia" w:cstheme="minorEastAsia"/>
                <w:color w:val="auto"/>
                <w:kern w:val="0"/>
                <w:sz w:val="21"/>
                <w:szCs w:val="21"/>
                <w:highlight w:val="none"/>
                <w:lang w:val="en-US" w:eastAsia="zh-CN"/>
              </w:rPr>
              <w:t>- 食品安全生产法规</w:t>
            </w:r>
          </w:p>
        </w:tc>
      </w:tr>
    </w:tbl>
    <w:p w14:paraId="3C1573E6">
      <w:pPr>
        <w:rPr>
          <w:rFonts w:hint="eastAsia"/>
          <w:lang w:val="en-US" w:eastAsia="zh-CN"/>
        </w:rPr>
      </w:pPr>
    </w:p>
    <w:p w14:paraId="6F5AD381">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asciiTheme="minorEastAsia" w:hAnsiTheme="minorEastAsia" w:eastAsiaTheme="minorEastAsia" w:cstheme="minorEastAsia"/>
          <w:sz w:val="28"/>
          <w:szCs w:val="28"/>
          <w:lang w:val="en-US" w:eastAsia="zh-CN"/>
        </w:rPr>
      </w:pPr>
      <w:bookmarkStart w:id="44" w:name="_Toc22329"/>
      <w:r>
        <w:rPr>
          <w:rFonts w:hint="eastAsia" w:asciiTheme="minorEastAsia" w:hAnsiTheme="minorEastAsia" w:eastAsiaTheme="minorEastAsia" w:cstheme="minorEastAsia"/>
          <w:sz w:val="28"/>
          <w:szCs w:val="28"/>
          <w:lang w:val="en-US" w:eastAsia="zh-CN"/>
        </w:rPr>
        <w:t>（二）</w:t>
      </w:r>
      <w:bookmarkEnd w:id="41"/>
      <w:bookmarkEnd w:id="42"/>
      <w:r>
        <w:rPr>
          <w:rFonts w:hint="eastAsia" w:asciiTheme="minorEastAsia" w:hAnsiTheme="minorEastAsia" w:eastAsiaTheme="minorEastAsia" w:cstheme="minorEastAsia"/>
          <w:sz w:val="28"/>
          <w:szCs w:val="28"/>
          <w:lang w:val="en-US" w:eastAsia="zh-CN"/>
        </w:rPr>
        <w:t>课程体系架构</w:t>
      </w:r>
      <w:bookmarkEnd w:id="44"/>
    </w:p>
    <w:p w14:paraId="66B59C32">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课程分为公共基础课程、专业（技能）课程和素质拓展课程三类。公共基础课程包括公共必修课程（必修）、公共限选课程（限选）和公共任选课程（任选）三部分。专业（技能）课程包括专业基础课程、专业核心课程、专业实践课程和专业方向（选修）课程。素质拓展课程包括综合素质拓展课程和第二课堂活动课程。</w:t>
      </w:r>
      <w:bookmarkEnd w:id="43"/>
      <w:bookmarkStart w:id="45" w:name="_Toc12329"/>
    </w:p>
    <w:p w14:paraId="34D5AD82">
      <w:pPr>
        <w:pageBreakBefore w:val="0"/>
        <w:kinsoku/>
        <w:wordWrap/>
        <w:overflowPunct/>
        <w:topLinePunct w:val="0"/>
        <w:autoSpaceDE/>
        <w:autoSpaceDN/>
        <w:bidi w:val="0"/>
        <w:spacing w:line="360" w:lineRule="auto"/>
        <w:ind w:left="0" w:right="0" w:rightChars="0"/>
        <w:jc w:val="center"/>
        <w:outlineLvl w:val="2"/>
        <w:rPr>
          <w:rFonts w:hint="eastAsia" w:eastAsia="宋体"/>
          <w:sz w:val="21"/>
          <w:szCs w:val="21"/>
          <w:lang w:val="en-US" w:eastAsia="zh-CN"/>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2</w:t>
      </w:r>
      <w:r>
        <w:rPr>
          <w:rFonts w:hint="eastAsia" w:ascii="宋体" w:hAnsi="宋体" w:cs="宋体"/>
          <w:b/>
          <w:sz w:val="21"/>
          <w:szCs w:val="21"/>
        </w:rPr>
        <w:t xml:space="preserve">  课程体系构成及学分分配表</w:t>
      </w:r>
    </w:p>
    <w:tbl>
      <w:tblPr>
        <w:tblStyle w:val="27"/>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611"/>
        <w:gridCol w:w="1117"/>
        <w:gridCol w:w="870"/>
        <w:gridCol w:w="870"/>
        <w:gridCol w:w="986"/>
        <w:gridCol w:w="930"/>
        <w:gridCol w:w="855"/>
      </w:tblGrid>
      <w:tr w14:paraId="460C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84" w:type="dxa"/>
            <w:gridSpan w:val="2"/>
            <w:shd w:val="clear" w:color="auto" w:fill="B8CCE4" w:themeFill="accent1" w:themeFillTint="66"/>
            <w:noWrap w:val="0"/>
            <w:vAlign w:val="center"/>
          </w:tcPr>
          <w:p w14:paraId="2A19698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课程类别</w:t>
            </w:r>
          </w:p>
        </w:tc>
        <w:tc>
          <w:tcPr>
            <w:tcW w:w="1117" w:type="dxa"/>
            <w:shd w:val="clear" w:color="auto" w:fill="B8CCE4" w:themeFill="accent1" w:themeFillTint="66"/>
            <w:noWrap w:val="0"/>
            <w:vAlign w:val="center"/>
          </w:tcPr>
          <w:p w14:paraId="79F76A0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学分</w:t>
            </w:r>
          </w:p>
        </w:tc>
        <w:tc>
          <w:tcPr>
            <w:tcW w:w="870" w:type="dxa"/>
            <w:shd w:val="clear" w:color="auto" w:fill="B8CCE4" w:themeFill="accent1" w:themeFillTint="66"/>
            <w:noWrap w:val="0"/>
            <w:vAlign w:val="center"/>
          </w:tcPr>
          <w:p w14:paraId="5FFBEF2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学时</w:t>
            </w:r>
          </w:p>
        </w:tc>
        <w:tc>
          <w:tcPr>
            <w:tcW w:w="870" w:type="dxa"/>
            <w:shd w:val="clear" w:color="auto" w:fill="B8CCE4" w:themeFill="accent1" w:themeFillTint="66"/>
            <w:noWrap w:val="0"/>
            <w:vAlign w:val="center"/>
          </w:tcPr>
          <w:p w14:paraId="4D0759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占比</w:t>
            </w:r>
          </w:p>
        </w:tc>
        <w:tc>
          <w:tcPr>
            <w:tcW w:w="986" w:type="dxa"/>
            <w:shd w:val="clear" w:color="auto" w:fill="B8CCE4" w:themeFill="accent1" w:themeFillTint="66"/>
            <w:noWrap w:val="0"/>
            <w:vAlign w:val="center"/>
          </w:tcPr>
          <w:p w14:paraId="3B3E27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必修</w:t>
            </w:r>
          </w:p>
        </w:tc>
        <w:tc>
          <w:tcPr>
            <w:tcW w:w="930" w:type="dxa"/>
            <w:shd w:val="clear" w:color="auto" w:fill="B8CCE4" w:themeFill="accent1" w:themeFillTint="66"/>
            <w:noWrap w:val="0"/>
            <w:vAlign w:val="center"/>
          </w:tcPr>
          <w:p w14:paraId="23B7DFE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限选</w:t>
            </w:r>
          </w:p>
        </w:tc>
        <w:tc>
          <w:tcPr>
            <w:tcW w:w="855" w:type="dxa"/>
            <w:shd w:val="clear" w:color="auto" w:fill="B8CCE4" w:themeFill="accent1" w:themeFillTint="66"/>
            <w:noWrap w:val="0"/>
            <w:vAlign w:val="center"/>
          </w:tcPr>
          <w:p w14:paraId="2974B9C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任选</w:t>
            </w:r>
          </w:p>
        </w:tc>
      </w:tr>
      <w:tr w14:paraId="6CAF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284" w:type="dxa"/>
            <w:gridSpan w:val="2"/>
            <w:noWrap w:val="0"/>
            <w:vAlign w:val="center"/>
          </w:tcPr>
          <w:p w14:paraId="6976255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公共基础课程</w:t>
            </w:r>
          </w:p>
        </w:tc>
        <w:tc>
          <w:tcPr>
            <w:tcW w:w="1117" w:type="dxa"/>
            <w:noWrap w:val="0"/>
            <w:vAlign w:val="center"/>
          </w:tcPr>
          <w:p w14:paraId="2A834C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47</w:t>
            </w:r>
          </w:p>
        </w:tc>
        <w:tc>
          <w:tcPr>
            <w:tcW w:w="870" w:type="dxa"/>
            <w:noWrap w:val="0"/>
            <w:vAlign w:val="center"/>
          </w:tcPr>
          <w:p w14:paraId="5EDAAEC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870</w:t>
            </w:r>
          </w:p>
        </w:tc>
        <w:tc>
          <w:tcPr>
            <w:tcW w:w="870" w:type="dxa"/>
            <w:noWrap w:val="0"/>
            <w:vAlign w:val="center"/>
          </w:tcPr>
          <w:p w14:paraId="4A66EF3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33.1%</w:t>
            </w:r>
          </w:p>
        </w:tc>
        <w:tc>
          <w:tcPr>
            <w:tcW w:w="986" w:type="dxa"/>
            <w:noWrap w:val="0"/>
            <w:vAlign w:val="center"/>
          </w:tcPr>
          <w:p w14:paraId="2D13B83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39</w:t>
            </w:r>
          </w:p>
        </w:tc>
        <w:tc>
          <w:tcPr>
            <w:tcW w:w="930" w:type="dxa"/>
            <w:noWrap w:val="0"/>
            <w:vAlign w:val="center"/>
          </w:tcPr>
          <w:p w14:paraId="068A5A9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855" w:type="dxa"/>
            <w:noWrap w:val="0"/>
            <w:vAlign w:val="center"/>
          </w:tcPr>
          <w:p w14:paraId="3C67B08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r>
      <w:tr w14:paraId="6E19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73" w:type="dxa"/>
            <w:vMerge w:val="restart"/>
            <w:noWrap w:val="0"/>
            <w:vAlign w:val="center"/>
          </w:tcPr>
          <w:p w14:paraId="77C9867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专业（技能）课程</w:t>
            </w:r>
          </w:p>
        </w:tc>
        <w:tc>
          <w:tcPr>
            <w:tcW w:w="1611" w:type="dxa"/>
            <w:noWrap w:val="0"/>
            <w:vAlign w:val="center"/>
          </w:tcPr>
          <w:p w14:paraId="64CAE99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专业基础课</w:t>
            </w:r>
          </w:p>
        </w:tc>
        <w:tc>
          <w:tcPr>
            <w:tcW w:w="1117" w:type="dxa"/>
            <w:noWrap w:val="0"/>
            <w:vAlign w:val="center"/>
          </w:tcPr>
          <w:p w14:paraId="48983C8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w:t>
            </w:r>
          </w:p>
        </w:tc>
        <w:tc>
          <w:tcPr>
            <w:tcW w:w="870" w:type="dxa"/>
            <w:noWrap w:val="0"/>
            <w:vAlign w:val="center"/>
          </w:tcPr>
          <w:p w14:paraId="67C273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320</w:t>
            </w:r>
          </w:p>
        </w:tc>
        <w:tc>
          <w:tcPr>
            <w:tcW w:w="870" w:type="dxa"/>
            <w:noWrap w:val="0"/>
            <w:vAlign w:val="center"/>
          </w:tcPr>
          <w:p w14:paraId="1002282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14.1%</w:t>
            </w:r>
          </w:p>
        </w:tc>
        <w:tc>
          <w:tcPr>
            <w:tcW w:w="986" w:type="dxa"/>
            <w:shd w:val="clear" w:color="auto" w:fill="auto"/>
            <w:noWrap w:val="0"/>
            <w:vAlign w:val="center"/>
          </w:tcPr>
          <w:p w14:paraId="522A963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20</w:t>
            </w:r>
          </w:p>
        </w:tc>
        <w:tc>
          <w:tcPr>
            <w:tcW w:w="930" w:type="dxa"/>
            <w:noWrap w:val="0"/>
            <w:vAlign w:val="center"/>
          </w:tcPr>
          <w:p w14:paraId="797E3F0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14:paraId="69D3D76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4AE4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73" w:type="dxa"/>
            <w:vMerge w:val="continue"/>
            <w:noWrap w:val="0"/>
            <w:vAlign w:val="center"/>
          </w:tcPr>
          <w:p w14:paraId="5ABFA09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p>
        </w:tc>
        <w:tc>
          <w:tcPr>
            <w:tcW w:w="1611" w:type="dxa"/>
            <w:noWrap w:val="0"/>
            <w:vAlign w:val="center"/>
          </w:tcPr>
          <w:p w14:paraId="3CA5DAB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专业核心课</w:t>
            </w:r>
          </w:p>
        </w:tc>
        <w:tc>
          <w:tcPr>
            <w:tcW w:w="1117" w:type="dxa"/>
            <w:noWrap w:val="0"/>
            <w:vAlign w:val="center"/>
          </w:tcPr>
          <w:p w14:paraId="199F93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47</w:t>
            </w:r>
          </w:p>
        </w:tc>
        <w:tc>
          <w:tcPr>
            <w:tcW w:w="870" w:type="dxa"/>
            <w:noWrap w:val="0"/>
            <w:vAlign w:val="center"/>
          </w:tcPr>
          <w:p w14:paraId="60696E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1060</w:t>
            </w:r>
          </w:p>
        </w:tc>
        <w:tc>
          <w:tcPr>
            <w:tcW w:w="870" w:type="dxa"/>
            <w:noWrap w:val="0"/>
            <w:vAlign w:val="center"/>
          </w:tcPr>
          <w:p w14:paraId="1EFF898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33.1%</w:t>
            </w:r>
          </w:p>
        </w:tc>
        <w:tc>
          <w:tcPr>
            <w:tcW w:w="986" w:type="dxa"/>
            <w:shd w:val="clear" w:color="auto" w:fill="auto"/>
            <w:noWrap w:val="0"/>
            <w:vAlign w:val="center"/>
          </w:tcPr>
          <w:p w14:paraId="2C27637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47</w:t>
            </w:r>
          </w:p>
        </w:tc>
        <w:tc>
          <w:tcPr>
            <w:tcW w:w="930" w:type="dxa"/>
            <w:noWrap w:val="0"/>
            <w:vAlign w:val="center"/>
          </w:tcPr>
          <w:p w14:paraId="18D38B0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14:paraId="5C0584E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2D8C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73" w:type="dxa"/>
            <w:vMerge w:val="continue"/>
            <w:noWrap w:val="0"/>
            <w:vAlign w:val="center"/>
          </w:tcPr>
          <w:p w14:paraId="01A91ED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p>
        </w:tc>
        <w:tc>
          <w:tcPr>
            <w:tcW w:w="1611" w:type="dxa"/>
            <w:noWrap w:val="0"/>
            <w:vAlign w:val="center"/>
          </w:tcPr>
          <w:p w14:paraId="412FA6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lang w:eastAsia="zh-CN"/>
              </w:rPr>
              <w:t>专业实践课</w:t>
            </w:r>
          </w:p>
        </w:tc>
        <w:tc>
          <w:tcPr>
            <w:tcW w:w="1117" w:type="dxa"/>
            <w:shd w:val="clear" w:color="auto" w:fill="auto"/>
            <w:noWrap w:val="0"/>
            <w:vAlign w:val="center"/>
          </w:tcPr>
          <w:p w14:paraId="4BEE01A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18</w:t>
            </w:r>
          </w:p>
        </w:tc>
        <w:tc>
          <w:tcPr>
            <w:tcW w:w="870" w:type="dxa"/>
            <w:shd w:val="clear" w:color="auto" w:fill="auto"/>
            <w:noWrap w:val="0"/>
            <w:vAlign w:val="center"/>
          </w:tcPr>
          <w:p w14:paraId="15CF16A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288</w:t>
            </w:r>
          </w:p>
        </w:tc>
        <w:tc>
          <w:tcPr>
            <w:tcW w:w="870" w:type="dxa"/>
            <w:noWrap w:val="0"/>
            <w:vAlign w:val="center"/>
          </w:tcPr>
          <w:p w14:paraId="7735134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12.7%</w:t>
            </w:r>
          </w:p>
        </w:tc>
        <w:tc>
          <w:tcPr>
            <w:tcW w:w="986" w:type="dxa"/>
            <w:shd w:val="clear" w:color="auto" w:fill="auto"/>
            <w:noWrap w:val="0"/>
            <w:vAlign w:val="center"/>
          </w:tcPr>
          <w:p w14:paraId="432FE0B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18</w:t>
            </w:r>
          </w:p>
        </w:tc>
        <w:tc>
          <w:tcPr>
            <w:tcW w:w="930" w:type="dxa"/>
            <w:noWrap w:val="0"/>
            <w:vAlign w:val="center"/>
          </w:tcPr>
          <w:p w14:paraId="5902E02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14:paraId="20A56A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1E3F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73" w:type="dxa"/>
            <w:vMerge w:val="continue"/>
            <w:noWrap w:val="0"/>
            <w:vAlign w:val="center"/>
          </w:tcPr>
          <w:p w14:paraId="7F0DF6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p>
        </w:tc>
        <w:tc>
          <w:tcPr>
            <w:tcW w:w="1611" w:type="dxa"/>
            <w:noWrap w:val="0"/>
            <w:vAlign w:val="center"/>
          </w:tcPr>
          <w:p w14:paraId="3C78100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专业方向课</w:t>
            </w:r>
          </w:p>
        </w:tc>
        <w:tc>
          <w:tcPr>
            <w:tcW w:w="1117" w:type="dxa"/>
            <w:shd w:val="clear" w:color="auto" w:fill="auto"/>
            <w:noWrap w:val="0"/>
            <w:vAlign w:val="center"/>
          </w:tcPr>
          <w:p w14:paraId="0CC9DC4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6</w:t>
            </w:r>
          </w:p>
        </w:tc>
        <w:tc>
          <w:tcPr>
            <w:tcW w:w="870" w:type="dxa"/>
            <w:shd w:val="clear" w:color="auto" w:fill="auto"/>
            <w:noWrap w:val="0"/>
            <w:vAlign w:val="center"/>
          </w:tcPr>
          <w:p w14:paraId="4E00985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96</w:t>
            </w:r>
          </w:p>
        </w:tc>
        <w:tc>
          <w:tcPr>
            <w:tcW w:w="870" w:type="dxa"/>
            <w:noWrap w:val="0"/>
            <w:vAlign w:val="center"/>
          </w:tcPr>
          <w:p w14:paraId="4C2BDB4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4.2%</w:t>
            </w:r>
          </w:p>
        </w:tc>
        <w:tc>
          <w:tcPr>
            <w:tcW w:w="986" w:type="dxa"/>
            <w:noWrap w:val="0"/>
            <w:vAlign w:val="center"/>
          </w:tcPr>
          <w:p w14:paraId="36167B4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930" w:type="dxa"/>
            <w:noWrap w:val="0"/>
            <w:vAlign w:val="center"/>
          </w:tcPr>
          <w:p w14:paraId="78EA0C4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855" w:type="dxa"/>
            <w:noWrap w:val="0"/>
            <w:vAlign w:val="center"/>
          </w:tcPr>
          <w:p w14:paraId="7C8AB17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1F70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284" w:type="dxa"/>
            <w:gridSpan w:val="2"/>
            <w:noWrap w:val="0"/>
            <w:vAlign w:val="center"/>
          </w:tcPr>
          <w:p w14:paraId="4119DF3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素质拓展课</w:t>
            </w:r>
          </w:p>
        </w:tc>
        <w:tc>
          <w:tcPr>
            <w:tcW w:w="1117" w:type="dxa"/>
            <w:noWrap w:val="0"/>
            <w:vAlign w:val="center"/>
          </w:tcPr>
          <w:p w14:paraId="513E08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870" w:type="dxa"/>
            <w:noWrap w:val="0"/>
            <w:vAlign w:val="center"/>
          </w:tcPr>
          <w:p w14:paraId="497C800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64</w:t>
            </w:r>
          </w:p>
        </w:tc>
        <w:tc>
          <w:tcPr>
            <w:tcW w:w="870" w:type="dxa"/>
            <w:noWrap w:val="0"/>
            <w:vAlign w:val="center"/>
          </w:tcPr>
          <w:p w14:paraId="56867A6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2.8%</w:t>
            </w:r>
          </w:p>
        </w:tc>
        <w:tc>
          <w:tcPr>
            <w:tcW w:w="986" w:type="dxa"/>
            <w:noWrap w:val="0"/>
            <w:vAlign w:val="center"/>
          </w:tcPr>
          <w:p w14:paraId="7D64803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930" w:type="dxa"/>
            <w:noWrap w:val="0"/>
            <w:vAlign w:val="center"/>
          </w:tcPr>
          <w:p w14:paraId="61233E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14:paraId="59BC034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r>
      <w:tr w14:paraId="14E0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84" w:type="dxa"/>
            <w:gridSpan w:val="2"/>
            <w:noWrap w:val="0"/>
            <w:vAlign w:val="center"/>
          </w:tcPr>
          <w:p w14:paraId="567103F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合计</w:t>
            </w:r>
          </w:p>
        </w:tc>
        <w:tc>
          <w:tcPr>
            <w:tcW w:w="1117" w:type="dxa"/>
            <w:shd w:val="clear" w:color="auto" w:fill="auto"/>
            <w:noWrap w:val="0"/>
            <w:vAlign w:val="center"/>
          </w:tcPr>
          <w:p w14:paraId="24E4313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eastAsiaTheme="minorEastAsia" w:cstheme="minorEastAsia"/>
                <w:color w:val="FF0000"/>
                <w:sz w:val="21"/>
                <w:szCs w:val="21"/>
                <w:highlight w:val="none"/>
                <w:lang w:val="en-US" w:eastAsia="zh-CN"/>
              </w:rPr>
              <w:t>142</w:t>
            </w:r>
          </w:p>
        </w:tc>
        <w:tc>
          <w:tcPr>
            <w:tcW w:w="870" w:type="dxa"/>
            <w:shd w:val="clear" w:color="auto" w:fill="auto"/>
            <w:noWrap w:val="0"/>
            <w:vAlign w:val="center"/>
          </w:tcPr>
          <w:p w14:paraId="6EB64BA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eastAsiaTheme="minorEastAsia" w:cstheme="minorEastAsia"/>
                <w:color w:val="FF0000"/>
                <w:sz w:val="21"/>
                <w:szCs w:val="21"/>
                <w:highlight w:val="none"/>
                <w:lang w:val="en-US" w:eastAsia="zh-CN"/>
              </w:rPr>
              <w:t>2698</w:t>
            </w:r>
          </w:p>
        </w:tc>
        <w:tc>
          <w:tcPr>
            <w:tcW w:w="870" w:type="dxa"/>
            <w:noWrap w:val="0"/>
            <w:vAlign w:val="center"/>
          </w:tcPr>
          <w:p w14:paraId="22443BD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100%</w:t>
            </w:r>
          </w:p>
        </w:tc>
        <w:tc>
          <w:tcPr>
            <w:tcW w:w="986" w:type="dxa"/>
            <w:noWrap w:val="0"/>
            <w:vAlign w:val="center"/>
          </w:tcPr>
          <w:p w14:paraId="6A06F8E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124</w:t>
            </w:r>
          </w:p>
        </w:tc>
        <w:tc>
          <w:tcPr>
            <w:tcW w:w="930" w:type="dxa"/>
            <w:noWrap w:val="0"/>
            <w:vAlign w:val="center"/>
          </w:tcPr>
          <w:p w14:paraId="2E696B1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w:t>
            </w:r>
          </w:p>
        </w:tc>
        <w:tc>
          <w:tcPr>
            <w:tcW w:w="855" w:type="dxa"/>
            <w:noWrap w:val="0"/>
            <w:vAlign w:val="center"/>
          </w:tcPr>
          <w:p w14:paraId="0C63F1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w:t>
            </w:r>
          </w:p>
        </w:tc>
      </w:tr>
    </w:tbl>
    <w:p w14:paraId="11625C73">
      <w:pPr>
        <w:pageBreakBefore w:val="0"/>
        <w:kinsoku/>
        <w:wordWrap/>
        <w:overflowPunct/>
        <w:topLinePunct w:val="0"/>
        <w:autoSpaceDE/>
        <w:autoSpaceDN/>
        <w:bidi w:val="0"/>
        <w:spacing w:line="360" w:lineRule="auto"/>
        <w:ind w:left="0" w:right="0" w:rightChars="0"/>
        <w:rPr>
          <w:rFonts w:hint="eastAsia"/>
          <w:lang w:val="en-US" w:eastAsia="zh-CN"/>
        </w:rPr>
      </w:pPr>
    </w:p>
    <w:p w14:paraId="4309FBB9">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46" w:name="_Toc24145"/>
      <w:r>
        <w:rPr>
          <w:rFonts w:hint="eastAsia" w:asciiTheme="minorEastAsia" w:hAnsiTheme="minorEastAsia" w:eastAsiaTheme="minorEastAsia" w:cstheme="minorEastAsia"/>
          <w:sz w:val="28"/>
          <w:szCs w:val="28"/>
          <w:lang w:val="en-US" w:eastAsia="zh-CN"/>
        </w:rPr>
        <w:t>（三）公共基础课程</w:t>
      </w:r>
      <w:bookmarkEnd w:id="45"/>
      <w:bookmarkEnd w:id="46"/>
    </w:p>
    <w:p w14:paraId="5AAF3ED3">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公共基础课程</w:t>
      </w:r>
      <w:r>
        <w:rPr>
          <w:rFonts w:hint="eastAsia" w:asciiTheme="minorEastAsia" w:hAnsiTheme="minorEastAsia" w:eastAsiaTheme="minorEastAsia" w:cstheme="minorEastAsia"/>
          <w:color w:val="auto"/>
          <w:kern w:val="0"/>
          <w:sz w:val="21"/>
          <w:szCs w:val="21"/>
          <w:highlight w:val="none"/>
          <w:lang w:val="en-US" w:eastAsia="zh-CN"/>
        </w:rPr>
        <w:t>47</w:t>
      </w:r>
      <w:r>
        <w:rPr>
          <w:rFonts w:hint="eastAsia"/>
          <w:sz w:val="24"/>
          <w:szCs w:val="22"/>
        </w:rPr>
        <w:t>学分，具体包括公共必修课程（必修）、公共限选课程（限选）和公共任选课程（任选）。</w:t>
      </w:r>
    </w:p>
    <w:p w14:paraId="50C96190">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1.</w:t>
      </w:r>
      <w:r>
        <w:rPr>
          <w:rFonts w:hint="eastAsia"/>
          <w:sz w:val="24"/>
          <w:szCs w:val="24"/>
          <w:lang w:val="en-US" w:eastAsia="zh-CN"/>
        </w:rPr>
        <w:t>公共</w:t>
      </w:r>
      <w:r>
        <w:rPr>
          <w:rFonts w:hint="eastAsia"/>
          <w:sz w:val="24"/>
          <w:szCs w:val="24"/>
        </w:rPr>
        <w:t>必修课</w:t>
      </w:r>
    </w:p>
    <w:p w14:paraId="31D4FB82">
      <w:pPr>
        <w:pageBreakBefore w:val="0"/>
        <w:kinsoku/>
        <w:wordWrap/>
        <w:overflowPunct/>
        <w:topLinePunct w:val="0"/>
        <w:autoSpaceDE/>
        <w:autoSpaceDN/>
        <w:bidi w:val="0"/>
        <w:spacing w:line="360" w:lineRule="auto"/>
        <w:ind w:left="0" w:right="0" w:rightChars="0"/>
        <w:rPr>
          <w:rFonts w:hint="eastAsia"/>
          <w:sz w:val="24"/>
          <w:szCs w:val="22"/>
          <w:lang w:val="en-US" w:eastAsia="zh-CN"/>
        </w:rPr>
      </w:pPr>
      <w:r>
        <w:rPr>
          <w:rFonts w:hint="eastAsia"/>
          <w:sz w:val="24"/>
          <w:szCs w:val="22"/>
          <w:lang w:val="en-US" w:eastAsia="zh-CN"/>
        </w:rPr>
        <w:t>本专业开设的公共必修课，</w:t>
      </w:r>
      <w:r>
        <w:rPr>
          <w:rFonts w:hint="eastAsia"/>
          <w:sz w:val="24"/>
          <w:szCs w:val="22"/>
        </w:rPr>
        <w:t>具体情况详见表</w:t>
      </w:r>
      <w:r>
        <w:rPr>
          <w:rFonts w:hint="eastAsia"/>
          <w:sz w:val="24"/>
          <w:szCs w:val="22"/>
          <w:lang w:val="en-US" w:eastAsia="zh-CN"/>
        </w:rPr>
        <w:t>7-3。</w:t>
      </w:r>
    </w:p>
    <w:p w14:paraId="4C679A25">
      <w:pPr>
        <w:pageBreakBefore w:val="0"/>
        <w:kinsoku/>
        <w:wordWrap/>
        <w:overflowPunct/>
        <w:topLinePunct w:val="0"/>
        <w:autoSpaceDE/>
        <w:autoSpaceDN/>
        <w:bidi w:val="0"/>
        <w:spacing w:line="360" w:lineRule="auto"/>
        <w:ind w:left="0" w:leftChars="0" w:right="0" w:rightChars="0" w:firstLine="0" w:firstLineChars="0"/>
        <w:jc w:val="center"/>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3</w:t>
      </w:r>
      <w:r>
        <w:rPr>
          <w:rFonts w:hint="eastAsia" w:ascii="宋体" w:hAnsi="宋体" w:cs="宋体"/>
          <w:b/>
          <w:sz w:val="21"/>
          <w:szCs w:val="21"/>
        </w:rPr>
        <w:t xml:space="preserve">  公共必修课程一览表</w:t>
      </w:r>
    </w:p>
    <w:tbl>
      <w:tblPr>
        <w:tblStyle w:val="27"/>
        <w:tblW w:w="5142"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689"/>
        <w:gridCol w:w="2563"/>
        <w:gridCol w:w="695"/>
        <w:gridCol w:w="694"/>
        <w:gridCol w:w="1900"/>
        <w:gridCol w:w="1752"/>
        <w:gridCol w:w="728"/>
      </w:tblGrid>
      <w:tr w14:paraId="5CFF246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382" w:type="pct"/>
            <w:tcBorders>
              <w:top w:val="single" w:color="auto" w:sz="4" w:space="0"/>
              <w:left w:val="single" w:color="auto" w:sz="4" w:space="0"/>
              <w:bottom w:val="single" w:color="000000" w:sz="4" w:space="0"/>
              <w:right w:val="single" w:color="000000" w:sz="4" w:space="0"/>
            </w:tcBorders>
            <w:shd w:val="clear" w:color="auto" w:fill="B8CCE4" w:themeFill="accent1" w:themeFillTint="66"/>
            <w:noWrap w:val="0"/>
            <w:vAlign w:val="center"/>
          </w:tcPr>
          <w:p w14:paraId="05DDBB0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序号</w:t>
            </w:r>
          </w:p>
        </w:tc>
        <w:tc>
          <w:tcPr>
            <w:tcW w:w="1420" w:type="pct"/>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1B789FB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课程名称</w:t>
            </w:r>
          </w:p>
        </w:tc>
        <w:tc>
          <w:tcPr>
            <w:tcW w:w="385" w:type="pct"/>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7C8C582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学时</w:t>
            </w:r>
          </w:p>
        </w:tc>
        <w:tc>
          <w:tcPr>
            <w:tcW w:w="384"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5F4D899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学分</w:t>
            </w:r>
          </w:p>
        </w:tc>
        <w:tc>
          <w:tcPr>
            <w:tcW w:w="1053"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0BB908F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统筹学院</w:t>
            </w:r>
          </w:p>
        </w:tc>
        <w:tc>
          <w:tcPr>
            <w:tcW w:w="970"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66A9C0F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开设学期</w:t>
            </w:r>
          </w:p>
        </w:tc>
        <w:tc>
          <w:tcPr>
            <w:tcW w:w="403"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0458CDB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1"/>
                <w:szCs w:val="21"/>
                <w:highlight w:val="none"/>
                <w:lang w:val="en-US" w:eastAsia="zh-CN" w:bidi="ar"/>
              </w:rPr>
            </w:pPr>
            <w:r>
              <w:rPr>
                <w:rFonts w:hint="eastAsia" w:asciiTheme="minorEastAsia" w:hAnsiTheme="minorEastAsia" w:eastAsiaTheme="minorEastAsia" w:cstheme="minorEastAsia"/>
                <w:b/>
                <w:color w:val="auto"/>
                <w:sz w:val="21"/>
                <w:szCs w:val="21"/>
                <w:highlight w:val="none"/>
                <w:lang w:val="en-US" w:eastAsia="zh-CN" w:bidi="ar"/>
              </w:rPr>
              <w:t>备注</w:t>
            </w:r>
          </w:p>
        </w:tc>
      </w:tr>
      <w:tr w14:paraId="3331D90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82" w:type="pct"/>
            <w:tcBorders>
              <w:top w:val="single" w:color="000000" w:sz="4" w:space="0"/>
              <w:left w:val="single" w:color="auto" w:sz="4" w:space="0"/>
              <w:bottom w:val="single" w:color="000000" w:sz="4" w:space="0"/>
              <w:right w:val="single" w:color="000000" w:sz="4" w:space="0"/>
            </w:tcBorders>
            <w:noWrap w:val="0"/>
            <w:vAlign w:val="center"/>
          </w:tcPr>
          <w:p w14:paraId="456CA31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420" w:type="pct"/>
            <w:tcBorders>
              <w:top w:val="single" w:color="000000" w:sz="4" w:space="0"/>
              <w:left w:val="single" w:color="000000" w:sz="4" w:space="0"/>
              <w:bottom w:val="single" w:color="000000" w:sz="4" w:space="0"/>
              <w:right w:val="single" w:color="000000" w:sz="4" w:space="0"/>
            </w:tcBorders>
            <w:noWrap w:val="0"/>
            <w:vAlign w:val="center"/>
          </w:tcPr>
          <w:p w14:paraId="18BB6FD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习近平新时代中国特色社会主义思想概论</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9F2EDB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384" w:type="pct"/>
            <w:tcBorders>
              <w:top w:val="single" w:color="000000" w:sz="4" w:space="0"/>
              <w:left w:val="single" w:color="000000" w:sz="4" w:space="0"/>
              <w:bottom w:val="single" w:color="000000" w:sz="4" w:space="0"/>
              <w:right w:val="single" w:color="auto" w:sz="4" w:space="0"/>
            </w:tcBorders>
            <w:noWrap w:val="0"/>
            <w:vAlign w:val="center"/>
          </w:tcPr>
          <w:p w14:paraId="4E48DFE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053" w:type="pct"/>
            <w:tcBorders>
              <w:top w:val="single" w:color="000000" w:sz="4" w:space="0"/>
              <w:left w:val="single" w:color="000000" w:sz="4" w:space="0"/>
              <w:bottom w:val="single" w:color="000000" w:sz="4" w:space="0"/>
              <w:right w:val="single" w:color="auto" w:sz="4" w:space="0"/>
            </w:tcBorders>
            <w:noWrap w:val="0"/>
            <w:vAlign w:val="center"/>
          </w:tcPr>
          <w:p w14:paraId="417412A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14:paraId="2C8B154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18B35E4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706A0C3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82" w:type="pct"/>
            <w:tcBorders>
              <w:top w:val="single" w:color="000000" w:sz="4" w:space="0"/>
              <w:left w:val="single" w:color="auto" w:sz="4" w:space="0"/>
              <w:bottom w:val="single" w:color="000000" w:sz="4" w:space="0"/>
              <w:right w:val="single" w:color="000000" w:sz="4" w:space="0"/>
            </w:tcBorders>
            <w:noWrap w:val="0"/>
            <w:vAlign w:val="center"/>
          </w:tcPr>
          <w:p w14:paraId="60B7952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420" w:type="pct"/>
            <w:tcBorders>
              <w:top w:val="single" w:color="000000" w:sz="4" w:space="0"/>
              <w:left w:val="single" w:color="000000" w:sz="4" w:space="0"/>
              <w:bottom w:val="single" w:color="000000" w:sz="4" w:space="0"/>
              <w:right w:val="single" w:color="000000" w:sz="4" w:space="0"/>
            </w:tcBorders>
            <w:noWrap w:val="0"/>
            <w:vAlign w:val="center"/>
          </w:tcPr>
          <w:p w14:paraId="1421919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毛泽东思想和中国特色社会主义理论体系概论</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7CABD6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384" w:type="pct"/>
            <w:tcBorders>
              <w:top w:val="single" w:color="000000" w:sz="4" w:space="0"/>
              <w:left w:val="single" w:color="000000" w:sz="4" w:space="0"/>
              <w:bottom w:val="single" w:color="000000" w:sz="4" w:space="0"/>
              <w:right w:val="single" w:color="auto" w:sz="4" w:space="0"/>
            </w:tcBorders>
            <w:noWrap w:val="0"/>
            <w:vAlign w:val="center"/>
          </w:tcPr>
          <w:p w14:paraId="21FA4F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053" w:type="pct"/>
            <w:tcBorders>
              <w:top w:val="single" w:color="000000" w:sz="4" w:space="0"/>
              <w:left w:val="single" w:color="000000" w:sz="4" w:space="0"/>
              <w:bottom w:val="single" w:color="000000" w:sz="4" w:space="0"/>
              <w:right w:val="single" w:color="auto" w:sz="4" w:space="0"/>
            </w:tcBorders>
            <w:noWrap w:val="0"/>
            <w:vAlign w:val="center"/>
          </w:tcPr>
          <w:p w14:paraId="3FA7FF5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14:paraId="2197154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673393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35F2A98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82" w:type="pct"/>
            <w:tcBorders>
              <w:top w:val="single" w:color="000000" w:sz="4" w:space="0"/>
              <w:left w:val="single" w:color="auto" w:sz="4" w:space="0"/>
              <w:bottom w:val="single" w:color="000000" w:sz="4" w:space="0"/>
              <w:right w:val="single" w:color="000000" w:sz="4" w:space="0"/>
            </w:tcBorders>
            <w:noWrap w:val="0"/>
            <w:vAlign w:val="center"/>
          </w:tcPr>
          <w:p w14:paraId="6422D3D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420" w:type="pct"/>
            <w:tcBorders>
              <w:top w:val="single" w:color="000000" w:sz="4" w:space="0"/>
              <w:left w:val="single" w:color="000000" w:sz="4" w:space="0"/>
              <w:bottom w:val="single" w:color="000000" w:sz="4" w:space="0"/>
              <w:right w:val="single" w:color="000000" w:sz="4" w:space="0"/>
            </w:tcBorders>
            <w:noWrap w:val="0"/>
            <w:vAlign w:val="center"/>
          </w:tcPr>
          <w:p w14:paraId="3B07F15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思想道德与法治</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5D44B9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384" w:type="pct"/>
            <w:tcBorders>
              <w:top w:val="single" w:color="000000" w:sz="4" w:space="0"/>
              <w:left w:val="single" w:color="000000" w:sz="4" w:space="0"/>
              <w:bottom w:val="single" w:color="000000" w:sz="4" w:space="0"/>
              <w:right w:val="single" w:color="auto" w:sz="4" w:space="0"/>
            </w:tcBorders>
            <w:noWrap w:val="0"/>
            <w:vAlign w:val="center"/>
          </w:tcPr>
          <w:p w14:paraId="51CFEF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053" w:type="pct"/>
            <w:tcBorders>
              <w:top w:val="single" w:color="000000" w:sz="4" w:space="0"/>
              <w:left w:val="single" w:color="000000" w:sz="4" w:space="0"/>
              <w:bottom w:val="single" w:color="000000" w:sz="4" w:space="0"/>
              <w:right w:val="single" w:color="auto" w:sz="4" w:space="0"/>
            </w:tcBorders>
            <w:noWrap w:val="0"/>
            <w:vAlign w:val="center"/>
          </w:tcPr>
          <w:p w14:paraId="6620633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14:paraId="60A8CFB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1DE8140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453BF9F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82" w:type="pct"/>
            <w:tcBorders>
              <w:top w:val="single" w:color="000000" w:sz="4" w:space="0"/>
              <w:left w:val="single" w:color="auto" w:sz="4" w:space="0"/>
              <w:bottom w:val="single" w:color="000000" w:sz="4" w:space="0"/>
              <w:right w:val="single" w:color="000000" w:sz="4" w:space="0"/>
            </w:tcBorders>
            <w:noWrap w:val="0"/>
            <w:vAlign w:val="center"/>
          </w:tcPr>
          <w:p w14:paraId="02B7858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w:t>
            </w:r>
          </w:p>
        </w:tc>
        <w:tc>
          <w:tcPr>
            <w:tcW w:w="1420" w:type="pct"/>
            <w:tcBorders>
              <w:top w:val="single" w:color="000000" w:sz="4" w:space="0"/>
              <w:left w:val="single" w:color="000000" w:sz="4" w:space="0"/>
              <w:bottom w:val="single" w:color="000000" w:sz="4" w:space="0"/>
              <w:right w:val="single" w:color="000000" w:sz="4" w:space="0"/>
            </w:tcBorders>
            <w:noWrap w:val="0"/>
            <w:vAlign w:val="center"/>
          </w:tcPr>
          <w:p w14:paraId="748E3A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形势与政策</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95FC55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384" w:type="pct"/>
            <w:tcBorders>
              <w:top w:val="single" w:color="000000" w:sz="4" w:space="0"/>
              <w:left w:val="single" w:color="000000" w:sz="4" w:space="0"/>
              <w:bottom w:val="single" w:color="000000" w:sz="4" w:space="0"/>
              <w:right w:val="single" w:color="auto" w:sz="4" w:space="0"/>
            </w:tcBorders>
            <w:noWrap w:val="0"/>
            <w:vAlign w:val="center"/>
          </w:tcPr>
          <w:p w14:paraId="3EEDBDA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053" w:type="pct"/>
            <w:tcBorders>
              <w:top w:val="single" w:color="000000" w:sz="4" w:space="0"/>
              <w:left w:val="single" w:color="000000" w:sz="4" w:space="0"/>
              <w:bottom w:val="single" w:color="000000" w:sz="4" w:space="0"/>
              <w:right w:val="single" w:color="auto" w:sz="4" w:space="0"/>
            </w:tcBorders>
            <w:noWrap w:val="0"/>
            <w:vAlign w:val="center"/>
          </w:tcPr>
          <w:p w14:paraId="2DD5D62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14:paraId="2B4F06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在校（1-4学期）每学期8课时</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0BB0DA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0D7783D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82" w:type="pct"/>
            <w:tcBorders>
              <w:top w:val="single" w:color="000000" w:sz="4" w:space="0"/>
              <w:left w:val="single" w:color="auto" w:sz="4" w:space="0"/>
              <w:bottom w:val="single" w:color="000000" w:sz="4" w:space="0"/>
              <w:right w:val="single" w:color="000000" w:sz="4" w:space="0"/>
            </w:tcBorders>
            <w:noWrap w:val="0"/>
            <w:vAlign w:val="center"/>
          </w:tcPr>
          <w:p w14:paraId="047136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5</w:t>
            </w:r>
          </w:p>
        </w:tc>
        <w:tc>
          <w:tcPr>
            <w:tcW w:w="1420" w:type="pct"/>
            <w:tcBorders>
              <w:top w:val="single" w:color="000000" w:sz="4" w:space="0"/>
              <w:left w:val="single" w:color="000000" w:sz="4" w:space="0"/>
              <w:bottom w:val="single" w:color="000000" w:sz="4" w:space="0"/>
              <w:right w:val="single" w:color="000000" w:sz="4" w:space="0"/>
            </w:tcBorders>
            <w:noWrap w:val="0"/>
            <w:vAlign w:val="center"/>
          </w:tcPr>
          <w:p w14:paraId="45DE9F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中国共产党党史</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61168A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84" w:type="pct"/>
            <w:tcBorders>
              <w:top w:val="single" w:color="000000" w:sz="4" w:space="0"/>
              <w:left w:val="single" w:color="000000" w:sz="4" w:space="0"/>
              <w:bottom w:val="single" w:color="000000" w:sz="4" w:space="0"/>
              <w:right w:val="single" w:color="auto" w:sz="4" w:space="0"/>
            </w:tcBorders>
            <w:noWrap w:val="0"/>
            <w:vAlign w:val="center"/>
          </w:tcPr>
          <w:p w14:paraId="3F401C9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053" w:type="pct"/>
            <w:tcBorders>
              <w:top w:val="single" w:color="000000" w:sz="4" w:space="0"/>
              <w:left w:val="single" w:color="000000" w:sz="4" w:space="0"/>
              <w:bottom w:val="single" w:color="000000" w:sz="4" w:space="0"/>
              <w:right w:val="single" w:color="auto" w:sz="4" w:space="0"/>
            </w:tcBorders>
            <w:noWrap w:val="0"/>
            <w:vAlign w:val="center"/>
          </w:tcPr>
          <w:p w14:paraId="3C13357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14:paraId="0370868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75F9181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3269ED2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82" w:type="pct"/>
            <w:tcBorders>
              <w:top w:val="single" w:color="000000" w:sz="4" w:space="0"/>
              <w:left w:val="single" w:color="auto" w:sz="4" w:space="0"/>
              <w:bottom w:val="single" w:color="000000" w:sz="4" w:space="0"/>
              <w:right w:val="single" w:color="000000" w:sz="4" w:space="0"/>
            </w:tcBorders>
            <w:noWrap w:val="0"/>
            <w:vAlign w:val="center"/>
          </w:tcPr>
          <w:p w14:paraId="5FAF5CD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6</w:t>
            </w:r>
          </w:p>
        </w:tc>
        <w:tc>
          <w:tcPr>
            <w:tcW w:w="1420" w:type="pct"/>
            <w:tcBorders>
              <w:top w:val="single" w:color="000000" w:sz="4" w:space="0"/>
              <w:left w:val="single" w:color="000000" w:sz="4" w:space="0"/>
              <w:bottom w:val="single" w:color="000000" w:sz="4" w:space="0"/>
              <w:right w:val="single" w:color="000000" w:sz="4" w:space="0"/>
            </w:tcBorders>
            <w:noWrap w:val="0"/>
            <w:vAlign w:val="center"/>
          </w:tcPr>
          <w:p w14:paraId="1982FBB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思想政治理论课实践教学</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1E2BB41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84" w:type="pct"/>
            <w:tcBorders>
              <w:top w:val="single" w:color="000000" w:sz="4" w:space="0"/>
              <w:left w:val="single" w:color="000000" w:sz="4" w:space="0"/>
              <w:bottom w:val="single" w:color="000000" w:sz="4" w:space="0"/>
              <w:right w:val="single" w:color="auto" w:sz="4" w:space="0"/>
            </w:tcBorders>
            <w:noWrap w:val="0"/>
            <w:vAlign w:val="center"/>
          </w:tcPr>
          <w:p w14:paraId="54E428D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053" w:type="pct"/>
            <w:tcBorders>
              <w:top w:val="single" w:color="000000" w:sz="4" w:space="0"/>
              <w:left w:val="single" w:color="000000" w:sz="4" w:space="0"/>
              <w:bottom w:val="single" w:color="000000" w:sz="4" w:space="0"/>
              <w:right w:val="single" w:color="auto" w:sz="4" w:space="0"/>
            </w:tcBorders>
            <w:noWrap w:val="0"/>
            <w:vAlign w:val="center"/>
          </w:tcPr>
          <w:p w14:paraId="341515A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14:paraId="2A03D5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第一至第二学期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0F37B3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7773292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82" w:type="pct"/>
            <w:vMerge w:val="restart"/>
            <w:tcBorders>
              <w:top w:val="single" w:color="000000" w:sz="4" w:space="0"/>
              <w:left w:val="single" w:color="auto" w:sz="4" w:space="0"/>
              <w:right w:val="single" w:color="000000" w:sz="4" w:space="0"/>
            </w:tcBorders>
            <w:noWrap w:val="0"/>
            <w:vAlign w:val="center"/>
          </w:tcPr>
          <w:p w14:paraId="38979A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7</w:t>
            </w:r>
          </w:p>
        </w:tc>
        <w:tc>
          <w:tcPr>
            <w:tcW w:w="1420" w:type="pct"/>
            <w:tcBorders>
              <w:top w:val="single" w:color="000000" w:sz="4" w:space="0"/>
              <w:left w:val="single" w:color="000000" w:sz="4" w:space="0"/>
              <w:bottom w:val="single" w:color="000000" w:sz="4" w:space="0"/>
              <w:right w:val="single" w:color="000000" w:sz="4" w:space="0"/>
            </w:tcBorders>
            <w:noWrap w:val="0"/>
            <w:vAlign w:val="center"/>
          </w:tcPr>
          <w:p w14:paraId="30C5044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大学英语</w:t>
            </w:r>
          </w:p>
        </w:tc>
        <w:tc>
          <w:tcPr>
            <w:tcW w:w="385" w:type="pct"/>
            <w:vMerge w:val="restart"/>
            <w:tcBorders>
              <w:top w:val="single" w:color="000000" w:sz="4" w:space="0"/>
              <w:left w:val="single" w:color="000000" w:sz="4" w:space="0"/>
              <w:right w:val="single" w:color="000000" w:sz="4" w:space="0"/>
            </w:tcBorders>
            <w:noWrap w:val="0"/>
            <w:vAlign w:val="center"/>
          </w:tcPr>
          <w:p w14:paraId="22077F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128</w:t>
            </w:r>
          </w:p>
        </w:tc>
        <w:tc>
          <w:tcPr>
            <w:tcW w:w="384" w:type="pct"/>
            <w:vMerge w:val="restart"/>
            <w:tcBorders>
              <w:top w:val="single" w:color="000000" w:sz="4" w:space="0"/>
              <w:left w:val="single" w:color="000000" w:sz="4" w:space="0"/>
              <w:right w:val="single" w:color="auto" w:sz="4" w:space="0"/>
            </w:tcBorders>
            <w:noWrap w:val="0"/>
            <w:vAlign w:val="center"/>
          </w:tcPr>
          <w:p w14:paraId="3159C8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8</w:t>
            </w:r>
          </w:p>
        </w:tc>
        <w:tc>
          <w:tcPr>
            <w:tcW w:w="1053" w:type="pct"/>
            <w:vMerge w:val="restart"/>
            <w:tcBorders>
              <w:top w:val="single" w:color="000000" w:sz="4" w:space="0"/>
              <w:left w:val="single" w:color="000000" w:sz="4" w:space="0"/>
              <w:right w:val="single" w:color="auto" w:sz="4" w:space="0"/>
            </w:tcBorders>
            <w:noWrap w:val="0"/>
            <w:vAlign w:val="center"/>
          </w:tcPr>
          <w:p w14:paraId="2F33D68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70" w:type="pct"/>
            <w:vMerge w:val="restart"/>
            <w:tcBorders>
              <w:top w:val="single" w:color="000000" w:sz="4" w:space="0"/>
              <w:left w:val="single" w:color="000000" w:sz="4" w:space="0"/>
              <w:right w:val="single" w:color="auto" w:sz="4" w:space="0"/>
            </w:tcBorders>
            <w:noWrap w:val="0"/>
            <w:vAlign w:val="center"/>
          </w:tcPr>
          <w:p w14:paraId="6FA52A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第一至第二学期</w:t>
            </w:r>
          </w:p>
        </w:tc>
        <w:tc>
          <w:tcPr>
            <w:tcW w:w="403" w:type="pct"/>
            <w:vMerge w:val="restart"/>
            <w:tcBorders>
              <w:top w:val="single" w:color="000000" w:sz="4" w:space="0"/>
              <w:left w:val="single" w:color="000000" w:sz="4" w:space="0"/>
              <w:right w:val="single" w:color="auto" w:sz="4" w:space="0"/>
            </w:tcBorders>
            <w:noWrap w:val="0"/>
            <w:vAlign w:val="center"/>
          </w:tcPr>
          <w:p w14:paraId="751D36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学生从两门中任选一门</w:t>
            </w:r>
          </w:p>
        </w:tc>
      </w:tr>
      <w:tr w14:paraId="1E9893E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30" w:hRule="atLeast"/>
          <w:jc w:val="center"/>
        </w:trPr>
        <w:tc>
          <w:tcPr>
            <w:tcW w:w="382" w:type="pct"/>
            <w:vMerge w:val="continue"/>
            <w:tcBorders>
              <w:left w:val="single" w:color="auto" w:sz="4" w:space="0"/>
              <w:bottom w:val="single" w:color="000000" w:sz="4" w:space="0"/>
              <w:right w:val="single" w:color="000000" w:sz="4" w:space="0"/>
            </w:tcBorders>
            <w:noWrap w:val="0"/>
            <w:vAlign w:val="center"/>
          </w:tcPr>
          <w:p w14:paraId="6E205B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3587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大学日语</w:t>
            </w:r>
          </w:p>
        </w:tc>
        <w:tc>
          <w:tcPr>
            <w:tcW w:w="385" w:type="pct"/>
            <w:vMerge w:val="continue"/>
            <w:tcBorders>
              <w:left w:val="single" w:color="000000" w:sz="4" w:space="0"/>
              <w:bottom w:val="single" w:color="000000" w:sz="4" w:space="0"/>
              <w:right w:val="single" w:color="000000" w:sz="4" w:space="0"/>
            </w:tcBorders>
            <w:shd w:val="clear" w:color="auto" w:fill="auto"/>
            <w:noWrap w:val="0"/>
            <w:vAlign w:val="center"/>
          </w:tcPr>
          <w:p w14:paraId="7747DCD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384" w:type="pct"/>
            <w:vMerge w:val="continue"/>
            <w:tcBorders>
              <w:left w:val="single" w:color="000000" w:sz="4" w:space="0"/>
              <w:bottom w:val="single" w:color="000000" w:sz="4" w:space="0"/>
              <w:right w:val="single" w:color="auto" w:sz="4" w:space="0"/>
            </w:tcBorders>
            <w:shd w:val="clear" w:color="auto" w:fill="auto"/>
            <w:noWrap w:val="0"/>
            <w:vAlign w:val="center"/>
          </w:tcPr>
          <w:p w14:paraId="7507F96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1053" w:type="pct"/>
            <w:vMerge w:val="continue"/>
            <w:tcBorders>
              <w:left w:val="single" w:color="000000" w:sz="4" w:space="0"/>
              <w:bottom w:val="single" w:color="000000" w:sz="4" w:space="0"/>
              <w:right w:val="single" w:color="auto" w:sz="4" w:space="0"/>
            </w:tcBorders>
            <w:shd w:val="clear" w:color="auto" w:fill="auto"/>
            <w:noWrap w:val="0"/>
            <w:vAlign w:val="center"/>
          </w:tcPr>
          <w:p w14:paraId="5AE0DD6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970" w:type="pct"/>
            <w:vMerge w:val="continue"/>
            <w:tcBorders>
              <w:left w:val="single" w:color="000000" w:sz="4" w:space="0"/>
              <w:bottom w:val="single" w:color="000000" w:sz="4" w:space="0"/>
              <w:right w:val="single" w:color="auto" w:sz="4" w:space="0"/>
            </w:tcBorders>
            <w:shd w:val="clear" w:color="auto" w:fill="auto"/>
            <w:noWrap w:val="0"/>
            <w:vAlign w:val="center"/>
          </w:tcPr>
          <w:p w14:paraId="4280BC2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c>
          <w:tcPr>
            <w:tcW w:w="403" w:type="pct"/>
            <w:vMerge w:val="continue"/>
            <w:tcBorders>
              <w:left w:val="single" w:color="000000" w:sz="4" w:space="0"/>
              <w:bottom w:val="single" w:color="000000" w:sz="4" w:space="0"/>
              <w:right w:val="single" w:color="auto" w:sz="4" w:space="0"/>
            </w:tcBorders>
            <w:shd w:val="clear" w:color="auto" w:fill="auto"/>
            <w:noWrap w:val="0"/>
            <w:vAlign w:val="center"/>
          </w:tcPr>
          <w:p w14:paraId="2FB4EB9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47BD97D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82" w:type="pct"/>
            <w:tcBorders>
              <w:top w:val="single" w:color="000000" w:sz="4" w:space="0"/>
              <w:left w:val="single" w:color="auto" w:sz="4" w:space="0"/>
              <w:bottom w:val="single" w:color="000000" w:sz="4" w:space="0"/>
              <w:right w:val="single" w:color="000000" w:sz="4" w:space="0"/>
            </w:tcBorders>
            <w:noWrap w:val="0"/>
            <w:vAlign w:val="center"/>
          </w:tcPr>
          <w:p w14:paraId="2BE409B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8</w:t>
            </w:r>
          </w:p>
        </w:tc>
        <w:tc>
          <w:tcPr>
            <w:tcW w:w="1420" w:type="pct"/>
            <w:tcBorders>
              <w:top w:val="single" w:color="000000" w:sz="4" w:space="0"/>
              <w:left w:val="single" w:color="000000" w:sz="4" w:space="0"/>
              <w:bottom w:val="single" w:color="000000" w:sz="4" w:space="0"/>
              <w:right w:val="single" w:color="000000" w:sz="4" w:space="0"/>
            </w:tcBorders>
            <w:noWrap w:val="0"/>
            <w:vAlign w:val="center"/>
          </w:tcPr>
          <w:p w14:paraId="5A3E197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体育与健康（公共体育）</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1AB2FA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384" w:type="pct"/>
            <w:tcBorders>
              <w:top w:val="single" w:color="000000" w:sz="4" w:space="0"/>
              <w:left w:val="single" w:color="000000" w:sz="4" w:space="0"/>
              <w:bottom w:val="single" w:color="000000" w:sz="4" w:space="0"/>
              <w:right w:val="single" w:color="auto" w:sz="4" w:space="0"/>
            </w:tcBorders>
            <w:noWrap w:val="0"/>
            <w:vAlign w:val="center"/>
          </w:tcPr>
          <w:p w14:paraId="2528BA3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053" w:type="pct"/>
            <w:tcBorders>
              <w:top w:val="single" w:color="000000" w:sz="4" w:space="0"/>
              <w:left w:val="single" w:color="000000" w:sz="4" w:space="0"/>
              <w:bottom w:val="single" w:color="000000" w:sz="4" w:space="0"/>
              <w:right w:val="single" w:color="auto" w:sz="4" w:space="0"/>
            </w:tcBorders>
            <w:noWrap w:val="0"/>
            <w:vAlign w:val="center"/>
          </w:tcPr>
          <w:p w14:paraId="13E77BD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14:paraId="1736A44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63BC7A6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5EF4F4A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82" w:type="pct"/>
            <w:tcBorders>
              <w:top w:val="single" w:color="000000" w:sz="4" w:space="0"/>
              <w:left w:val="single" w:color="auto" w:sz="4" w:space="0"/>
              <w:bottom w:val="single" w:color="000000" w:sz="4" w:space="0"/>
              <w:right w:val="single" w:color="000000" w:sz="4" w:space="0"/>
            </w:tcBorders>
            <w:noWrap w:val="0"/>
            <w:vAlign w:val="center"/>
          </w:tcPr>
          <w:p w14:paraId="1CA72EA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9</w:t>
            </w:r>
          </w:p>
        </w:tc>
        <w:tc>
          <w:tcPr>
            <w:tcW w:w="1420" w:type="pct"/>
            <w:tcBorders>
              <w:top w:val="single" w:color="000000" w:sz="4" w:space="0"/>
              <w:left w:val="single" w:color="000000" w:sz="4" w:space="0"/>
              <w:bottom w:val="single" w:color="000000" w:sz="4" w:space="0"/>
              <w:right w:val="single" w:color="000000" w:sz="4" w:space="0"/>
            </w:tcBorders>
            <w:noWrap w:val="0"/>
            <w:vAlign w:val="center"/>
          </w:tcPr>
          <w:p w14:paraId="1B87A09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体育与健康（专项一）</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1B59B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384" w:type="pct"/>
            <w:tcBorders>
              <w:top w:val="single" w:color="000000" w:sz="4" w:space="0"/>
              <w:left w:val="single" w:color="000000" w:sz="4" w:space="0"/>
              <w:bottom w:val="single" w:color="000000" w:sz="4" w:space="0"/>
              <w:right w:val="single" w:color="auto" w:sz="4" w:space="0"/>
            </w:tcBorders>
            <w:noWrap w:val="0"/>
            <w:vAlign w:val="center"/>
          </w:tcPr>
          <w:p w14:paraId="69F373D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053" w:type="pct"/>
            <w:tcBorders>
              <w:top w:val="single" w:color="000000" w:sz="4" w:space="0"/>
              <w:left w:val="single" w:color="000000" w:sz="4" w:space="0"/>
              <w:bottom w:val="single" w:color="000000" w:sz="4" w:space="0"/>
              <w:right w:val="single" w:color="auto" w:sz="4" w:space="0"/>
            </w:tcBorders>
            <w:noWrap w:val="0"/>
            <w:vAlign w:val="center"/>
          </w:tcPr>
          <w:p w14:paraId="718FBB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14:paraId="1F4A9AB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151217A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330219E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82" w:type="pct"/>
            <w:tcBorders>
              <w:top w:val="single" w:color="000000" w:sz="4" w:space="0"/>
              <w:left w:val="single" w:color="auto" w:sz="4" w:space="0"/>
              <w:bottom w:val="single" w:color="000000" w:sz="4" w:space="0"/>
              <w:right w:val="single" w:color="000000" w:sz="4" w:space="0"/>
            </w:tcBorders>
            <w:noWrap w:val="0"/>
            <w:vAlign w:val="center"/>
          </w:tcPr>
          <w:p w14:paraId="5DC20CA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10</w:t>
            </w:r>
          </w:p>
        </w:tc>
        <w:tc>
          <w:tcPr>
            <w:tcW w:w="1420" w:type="pct"/>
            <w:tcBorders>
              <w:top w:val="single" w:color="000000" w:sz="4" w:space="0"/>
              <w:left w:val="single" w:color="000000" w:sz="4" w:space="0"/>
              <w:bottom w:val="single" w:color="000000" w:sz="4" w:space="0"/>
              <w:right w:val="single" w:color="000000" w:sz="4" w:space="0"/>
            </w:tcBorders>
            <w:noWrap w:val="0"/>
            <w:vAlign w:val="center"/>
          </w:tcPr>
          <w:p w14:paraId="6CA5B90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体育与健康（专项二）</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5328E74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384" w:type="pct"/>
            <w:tcBorders>
              <w:top w:val="single" w:color="000000" w:sz="4" w:space="0"/>
              <w:left w:val="single" w:color="000000" w:sz="4" w:space="0"/>
              <w:bottom w:val="single" w:color="000000" w:sz="4" w:space="0"/>
              <w:right w:val="single" w:color="auto" w:sz="4" w:space="0"/>
            </w:tcBorders>
            <w:noWrap w:val="0"/>
            <w:vAlign w:val="center"/>
          </w:tcPr>
          <w:p w14:paraId="339907D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053" w:type="pct"/>
            <w:tcBorders>
              <w:top w:val="single" w:color="000000" w:sz="4" w:space="0"/>
              <w:left w:val="single" w:color="000000" w:sz="4" w:space="0"/>
              <w:bottom w:val="single" w:color="000000" w:sz="4" w:space="0"/>
              <w:right w:val="single" w:color="auto" w:sz="4" w:space="0"/>
            </w:tcBorders>
            <w:noWrap w:val="0"/>
            <w:vAlign w:val="center"/>
          </w:tcPr>
          <w:p w14:paraId="0E6F882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14:paraId="0EB02D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第三学期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27EFA43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6DBFC09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8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1619FC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11</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E1AD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管理学基础</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C5E1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84"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87C6DB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05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C51BA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70"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744AC1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30FEA3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1063BF2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8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DE1D3B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12</w:t>
            </w:r>
          </w:p>
        </w:tc>
        <w:tc>
          <w:tcPr>
            <w:tcW w:w="1420" w:type="pct"/>
            <w:tcBorders>
              <w:top w:val="single" w:color="000000" w:sz="4" w:space="0"/>
              <w:left w:val="single" w:color="000000" w:sz="4" w:space="0"/>
              <w:bottom w:val="single" w:color="000000" w:sz="4" w:space="0"/>
              <w:right w:val="single" w:color="000000" w:sz="4" w:space="0"/>
            </w:tcBorders>
            <w:noWrap w:val="0"/>
            <w:vAlign w:val="center"/>
          </w:tcPr>
          <w:p w14:paraId="2786749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劳动教育</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7F6730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84" w:type="pct"/>
            <w:tcBorders>
              <w:top w:val="single" w:color="000000" w:sz="4" w:space="0"/>
              <w:left w:val="single" w:color="000000" w:sz="4" w:space="0"/>
              <w:bottom w:val="single" w:color="000000" w:sz="4" w:space="0"/>
              <w:right w:val="single" w:color="auto" w:sz="4" w:space="0"/>
            </w:tcBorders>
            <w:noWrap w:val="0"/>
            <w:vAlign w:val="center"/>
          </w:tcPr>
          <w:p w14:paraId="7B0EA21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053" w:type="pct"/>
            <w:tcBorders>
              <w:top w:val="single" w:color="000000" w:sz="4" w:space="0"/>
              <w:left w:val="single" w:color="000000" w:sz="4" w:space="0"/>
              <w:bottom w:val="single" w:color="000000" w:sz="4" w:space="0"/>
              <w:right w:val="single" w:color="auto" w:sz="4" w:space="0"/>
            </w:tcBorders>
            <w:noWrap w:val="0"/>
            <w:vAlign w:val="center"/>
          </w:tcPr>
          <w:p w14:paraId="44CBB6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14:paraId="72F86F2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1806B00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30E134F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8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EF39ED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eastAsia="等线" w:cs="宋体"/>
                <w:color w:val="auto"/>
                <w:kern w:val="0"/>
                <w:sz w:val="20"/>
                <w:szCs w:val="20"/>
                <w:lang w:val="en-US" w:eastAsia="zh-CN" w:bidi="ar"/>
              </w:rPr>
              <w:t>13</w:t>
            </w:r>
          </w:p>
        </w:tc>
        <w:tc>
          <w:tcPr>
            <w:tcW w:w="1420" w:type="pct"/>
            <w:tcBorders>
              <w:top w:val="single" w:color="000000" w:sz="4" w:space="0"/>
              <w:left w:val="single" w:color="000000" w:sz="4" w:space="0"/>
              <w:bottom w:val="single" w:color="000000" w:sz="4" w:space="0"/>
              <w:right w:val="single" w:color="000000" w:sz="4" w:space="0"/>
            </w:tcBorders>
            <w:noWrap w:val="0"/>
            <w:vAlign w:val="center"/>
          </w:tcPr>
          <w:p w14:paraId="79D6972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国家安全教育</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6CCF8D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16</w:t>
            </w:r>
          </w:p>
        </w:tc>
        <w:tc>
          <w:tcPr>
            <w:tcW w:w="384" w:type="pct"/>
            <w:tcBorders>
              <w:top w:val="single" w:color="000000" w:sz="4" w:space="0"/>
              <w:left w:val="single" w:color="000000" w:sz="4" w:space="0"/>
              <w:bottom w:val="single" w:color="000000" w:sz="4" w:space="0"/>
              <w:right w:val="single" w:color="auto" w:sz="4" w:space="0"/>
            </w:tcBorders>
            <w:noWrap w:val="0"/>
            <w:vAlign w:val="center"/>
          </w:tcPr>
          <w:p w14:paraId="635E824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w:t>
            </w:r>
          </w:p>
        </w:tc>
        <w:tc>
          <w:tcPr>
            <w:tcW w:w="1053" w:type="pct"/>
            <w:tcBorders>
              <w:top w:val="single" w:color="000000" w:sz="4" w:space="0"/>
              <w:left w:val="single" w:color="000000" w:sz="4" w:space="0"/>
              <w:bottom w:val="single" w:color="000000" w:sz="4" w:space="0"/>
              <w:right w:val="single" w:color="auto" w:sz="4" w:space="0"/>
            </w:tcBorders>
            <w:noWrap w:val="0"/>
            <w:vAlign w:val="center"/>
          </w:tcPr>
          <w:p w14:paraId="027B913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马克思主义学院（基础教学部）</w:t>
            </w:r>
          </w:p>
        </w:tc>
        <w:tc>
          <w:tcPr>
            <w:tcW w:w="970" w:type="pct"/>
            <w:tcBorders>
              <w:top w:val="single" w:color="000000" w:sz="4" w:space="0"/>
              <w:left w:val="single" w:color="000000" w:sz="4" w:space="0"/>
              <w:bottom w:val="single" w:color="000000" w:sz="4" w:space="0"/>
              <w:right w:val="single" w:color="auto" w:sz="4" w:space="0"/>
            </w:tcBorders>
            <w:noWrap w:val="0"/>
            <w:vAlign w:val="center"/>
          </w:tcPr>
          <w:p w14:paraId="2A23506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03" w:type="pct"/>
            <w:tcBorders>
              <w:top w:val="single" w:color="000000" w:sz="4" w:space="0"/>
              <w:left w:val="single" w:color="000000" w:sz="4" w:space="0"/>
              <w:bottom w:val="single" w:color="000000" w:sz="4" w:space="0"/>
              <w:right w:val="single" w:color="auto" w:sz="4" w:space="0"/>
            </w:tcBorders>
            <w:noWrap w:val="0"/>
            <w:vAlign w:val="center"/>
          </w:tcPr>
          <w:p w14:paraId="3A39C5E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599C786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8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25658C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eastAsia="等线" w:cs="宋体"/>
                <w:color w:val="auto"/>
                <w:kern w:val="0"/>
                <w:sz w:val="20"/>
                <w:szCs w:val="20"/>
                <w:lang w:val="en-US" w:eastAsia="zh-CN" w:bidi="ar"/>
              </w:rPr>
              <w:t>14</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C77B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信息技术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BFB9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48</w:t>
            </w:r>
          </w:p>
        </w:tc>
        <w:tc>
          <w:tcPr>
            <w:tcW w:w="384"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99D8D8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w:t>
            </w:r>
          </w:p>
        </w:tc>
        <w:tc>
          <w:tcPr>
            <w:tcW w:w="105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D0B70D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教务处（科研与规划处、院士工作站）</w:t>
            </w:r>
          </w:p>
        </w:tc>
        <w:tc>
          <w:tcPr>
            <w:tcW w:w="970"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6BA28E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0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593757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2A39818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8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E2BE23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15</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7E4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军事技能</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E5CD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112</w:t>
            </w:r>
          </w:p>
        </w:tc>
        <w:tc>
          <w:tcPr>
            <w:tcW w:w="384"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7D3CF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05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4B9F0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970"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942CC7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A33E5F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055DE7C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8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BF910A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473D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军事理论</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DB72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36</w:t>
            </w:r>
          </w:p>
        </w:tc>
        <w:tc>
          <w:tcPr>
            <w:tcW w:w="384"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D03F13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05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9DA294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970"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560574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第二学期</w:t>
            </w:r>
          </w:p>
        </w:tc>
        <w:tc>
          <w:tcPr>
            <w:tcW w:w="40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E76B82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29C557D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8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473113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eastAsia="等线" w:cs="宋体"/>
                <w:color w:val="auto"/>
                <w:kern w:val="0"/>
                <w:sz w:val="20"/>
                <w:szCs w:val="20"/>
                <w:lang w:val="en-US" w:eastAsia="zh-CN" w:bidi="ar"/>
              </w:rPr>
              <w:t>17</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0C6C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心理健康教育</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F21D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32</w:t>
            </w:r>
          </w:p>
        </w:tc>
        <w:tc>
          <w:tcPr>
            <w:tcW w:w="384"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7F09CE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05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803742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学生工作处（武装部、团委）</w:t>
            </w:r>
          </w:p>
        </w:tc>
        <w:tc>
          <w:tcPr>
            <w:tcW w:w="970"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1BC44C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第一学期</w:t>
            </w:r>
          </w:p>
        </w:tc>
        <w:tc>
          <w:tcPr>
            <w:tcW w:w="40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53CFB1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r w14:paraId="615AFB8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82"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894A5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eastAsia="等线" w:cs="宋体"/>
                <w:color w:val="auto"/>
                <w:kern w:val="0"/>
                <w:sz w:val="20"/>
                <w:szCs w:val="20"/>
                <w:lang w:val="en-US" w:eastAsia="zh-CN" w:bidi="ar"/>
              </w:rPr>
              <w:t>18</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278C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职业发展与就业指导</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E3011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38</w:t>
            </w:r>
          </w:p>
        </w:tc>
        <w:tc>
          <w:tcPr>
            <w:tcW w:w="384"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C08DA7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2</w:t>
            </w:r>
          </w:p>
        </w:tc>
        <w:tc>
          <w:tcPr>
            <w:tcW w:w="105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040BD2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招生与就业处</w:t>
            </w:r>
          </w:p>
        </w:tc>
        <w:tc>
          <w:tcPr>
            <w:tcW w:w="970"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030FA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在校学期分模块开设</w:t>
            </w:r>
          </w:p>
        </w:tc>
        <w:tc>
          <w:tcPr>
            <w:tcW w:w="403"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6D72B2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lang w:val="en-US" w:eastAsia="zh-CN" w:bidi="ar"/>
              </w:rPr>
            </w:pPr>
          </w:p>
        </w:tc>
      </w:tr>
    </w:tbl>
    <w:p w14:paraId="7EC6C116">
      <w:pPr>
        <w:pageBreakBefore w:val="0"/>
        <w:kinsoku/>
        <w:wordWrap/>
        <w:overflowPunct/>
        <w:topLinePunct w:val="0"/>
        <w:autoSpaceDE/>
        <w:autoSpaceDN/>
        <w:bidi w:val="0"/>
        <w:spacing w:line="360" w:lineRule="auto"/>
        <w:ind w:left="0" w:leftChars="0" w:right="0" w:rightChars="0" w:firstLine="0" w:firstLineChars="0"/>
        <w:jc w:val="center"/>
        <w:rPr>
          <w:rFonts w:hint="eastAsia" w:ascii="宋体" w:hAnsi="宋体" w:cs="宋体"/>
          <w:b/>
          <w:sz w:val="21"/>
          <w:szCs w:val="21"/>
        </w:rPr>
      </w:pPr>
      <w:bookmarkStart w:id="161" w:name="_GoBack"/>
      <w:bookmarkEnd w:id="161"/>
    </w:p>
    <w:p w14:paraId="71AEED1D">
      <w:pPr>
        <w:pStyle w:val="4"/>
        <w:pageBreakBefore w:val="0"/>
        <w:kinsoku/>
        <w:wordWrap/>
        <w:overflowPunct/>
        <w:topLinePunct w:val="0"/>
        <w:autoSpaceDE/>
        <w:autoSpaceDN/>
        <w:bidi w:val="0"/>
        <w:spacing w:line="360" w:lineRule="auto"/>
        <w:ind w:left="0" w:right="0" w:rightChars="0"/>
        <w:rPr>
          <w:rFonts w:hint="default" w:eastAsia="宋体"/>
          <w:sz w:val="24"/>
          <w:szCs w:val="24"/>
          <w:lang w:val="en-US" w:eastAsia="zh-CN"/>
        </w:rPr>
      </w:pPr>
      <w:r>
        <w:rPr>
          <w:rFonts w:hint="eastAsia"/>
          <w:sz w:val="24"/>
          <w:szCs w:val="24"/>
        </w:rPr>
        <w:t>2</w:t>
      </w:r>
      <w:r>
        <w:rPr>
          <w:rFonts w:hint="eastAsia"/>
          <w:sz w:val="24"/>
          <w:szCs w:val="24"/>
          <w:lang w:eastAsia="zh-CN"/>
        </w:rPr>
        <w:t>.</w:t>
      </w:r>
      <w:r>
        <w:rPr>
          <w:rFonts w:hint="eastAsia"/>
          <w:sz w:val="24"/>
          <w:szCs w:val="24"/>
          <w:lang w:val="en-US" w:eastAsia="zh-CN"/>
        </w:rPr>
        <w:t>公共限选课</w:t>
      </w:r>
    </w:p>
    <w:p w14:paraId="7C9E6D79">
      <w:pPr>
        <w:pageBreakBefore w:val="0"/>
        <w:kinsoku/>
        <w:wordWrap/>
        <w:overflowPunct/>
        <w:topLinePunct w:val="0"/>
        <w:autoSpaceDE/>
        <w:autoSpaceDN/>
        <w:bidi w:val="0"/>
        <w:spacing w:line="360" w:lineRule="auto"/>
        <w:ind w:left="0" w:right="0" w:rightChars="0"/>
        <w:rPr>
          <w:rFonts w:hint="eastAsia"/>
          <w:sz w:val="24"/>
          <w:szCs w:val="22"/>
          <w:lang w:val="en-US" w:eastAsia="zh-CN"/>
        </w:rPr>
      </w:pPr>
      <w:r>
        <w:rPr>
          <w:rFonts w:hint="eastAsia"/>
          <w:sz w:val="24"/>
          <w:szCs w:val="22"/>
          <w:lang w:val="en-US" w:eastAsia="zh-CN"/>
        </w:rPr>
        <w:t>本专业开设的公共限选课，</w:t>
      </w:r>
      <w:r>
        <w:rPr>
          <w:rFonts w:hint="eastAsia"/>
          <w:sz w:val="24"/>
          <w:szCs w:val="22"/>
        </w:rPr>
        <w:t>具体情况详见表</w:t>
      </w:r>
      <w:r>
        <w:rPr>
          <w:rFonts w:hint="eastAsia"/>
          <w:sz w:val="24"/>
          <w:szCs w:val="22"/>
          <w:lang w:val="en-US" w:eastAsia="zh-CN"/>
        </w:rPr>
        <w:t>7-4。</w:t>
      </w:r>
    </w:p>
    <w:p w14:paraId="51CF527F">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4</w:t>
      </w:r>
      <w:r>
        <w:rPr>
          <w:rFonts w:hint="eastAsia" w:ascii="宋体" w:hAnsi="宋体" w:cs="宋体"/>
          <w:b/>
          <w:sz w:val="21"/>
          <w:szCs w:val="21"/>
        </w:rPr>
        <w:t xml:space="preserve">  公共限选课程一览表</w:t>
      </w:r>
    </w:p>
    <w:tbl>
      <w:tblPr>
        <w:tblStyle w:val="27"/>
        <w:tblW w:w="540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763"/>
        <w:gridCol w:w="1652"/>
        <w:gridCol w:w="634"/>
        <w:gridCol w:w="642"/>
        <w:gridCol w:w="1686"/>
        <w:gridCol w:w="1703"/>
        <w:gridCol w:w="2407"/>
      </w:tblGrid>
      <w:tr w14:paraId="5D3498B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2" w:type="pct"/>
            <w:tcBorders>
              <w:top w:val="single" w:color="auto" w:sz="4" w:space="0"/>
              <w:left w:val="single" w:color="auto" w:sz="4" w:space="0"/>
              <w:bottom w:val="single" w:color="000000" w:sz="4" w:space="0"/>
              <w:right w:val="single" w:color="000000" w:sz="4" w:space="0"/>
            </w:tcBorders>
            <w:shd w:val="clear" w:color="auto" w:fill="B9CDE5"/>
            <w:noWrap w:val="0"/>
            <w:vAlign w:val="center"/>
          </w:tcPr>
          <w:p w14:paraId="4DC49D4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序号</w:t>
            </w:r>
          </w:p>
        </w:tc>
        <w:tc>
          <w:tcPr>
            <w:tcW w:w="870"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2CA799F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课程名称</w:t>
            </w:r>
          </w:p>
        </w:tc>
        <w:tc>
          <w:tcPr>
            <w:tcW w:w="334"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296736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学时</w:t>
            </w:r>
          </w:p>
        </w:tc>
        <w:tc>
          <w:tcPr>
            <w:tcW w:w="33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632C280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学分</w:t>
            </w:r>
          </w:p>
        </w:tc>
        <w:tc>
          <w:tcPr>
            <w:tcW w:w="88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08CB932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统筹学院</w:t>
            </w:r>
          </w:p>
        </w:tc>
        <w:tc>
          <w:tcPr>
            <w:tcW w:w="897"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568837C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开设学期</w:t>
            </w:r>
          </w:p>
        </w:tc>
        <w:tc>
          <w:tcPr>
            <w:tcW w:w="126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67617A1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建议开设专业</w:t>
            </w:r>
          </w:p>
        </w:tc>
      </w:tr>
      <w:tr w14:paraId="1CB71AD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02" w:type="pct"/>
            <w:tcBorders>
              <w:top w:val="single" w:color="000000" w:sz="4" w:space="0"/>
              <w:left w:val="single" w:color="auto" w:sz="4" w:space="0"/>
              <w:bottom w:val="single" w:color="000000" w:sz="4" w:space="0"/>
              <w:right w:val="single" w:color="000000" w:sz="4" w:space="0"/>
            </w:tcBorders>
            <w:noWrap w:val="0"/>
            <w:vAlign w:val="center"/>
          </w:tcPr>
          <w:p w14:paraId="4CAC359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4D07DBE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中华民族共同体概论</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14:paraId="4F9EAB0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32</w:t>
            </w:r>
          </w:p>
        </w:tc>
        <w:tc>
          <w:tcPr>
            <w:tcW w:w="338" w:type="pct"/>
            <w:tcBorders>
              <w:top w:val="single" w:color="000000" w:sz="4" w:space="0"/>
              <w:left w:val="single" w:color="000000" w:sz="4" w:space="0"/>
              <w:bottom w:val="single" w:color="000000" w:sz="4" w:space="0"/>
              <w:right w:val="single" w:color="auto" w:sz="4" w:space="0"/>
            </w:tcBorders>
            <w:noWrap w:val="0"/>
            <w:vAlign w:val="center"/>
          </w:tcPr>
          <w:p w14:paraId="74A212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888" w:type="pct"/>
            <w:tcBorders>
              <w:top w:val="single" w:color="000000" w:sz="4" w:space="0"/>
              <w:left w:val="single" w:color="000000" w:sz="4" w:space="0"/>
              <w:bottom w:val="single" w:color="000000" w:sz="4" w:space="0"/>
              <w:right w:val="single" w:color="auto" w:sz="4" w:space="0"/>
            </w:tcBorders>
            <w:noWrap w:val="0"/>
            <w:vAlign w:val="center"/>
          </w:tcPr>
          <w:p w14:paraId="5090D0A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马克思主义学院（基础教学部）</w:t>
            </w:r>
          </w:p>
        </w:tc>
        <w:tc>
          <w:tcPr>
            <w:tcW w:w="897" w:type="pct"/>
            <w:tcBorders>
              <w:top w:val="single" w:color="000000" w:sz="4" w:space="0"/>
              <w:left w:val="single" w:color="000000" w:sz="4" w:space="0"/>
              <w:bottom w:val="single" w:color="000000" w:sz="4" w:space="0"/>
              <w:right w:val="single" w:color="auto" w:sz="4" w:space="0"/>
            </w:tcBorders>
            <w:noWrap w:val="0"/>
            <w:vAlign w:val="center"/>
          </w:tcPr>
          <w:p w14:paraId="0496432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第一学期</w:t>
            </w:r>
          </w:p>
        </w:tc>
        <w:tc>
          <w:tcPr>
            <w:tcW w:w="1268" w:type="pct"/>
            <w:tcBorders>
              <w:top w:val="single" w:color="000000" w:sz="4" w:space="0"/>
              <w:left w:val="single" w:color="000000" w:sz="4" w:space="0"/>
              <w:bottom w:val="single" w:color="000000" w:sz="4" w:space="0"/>
              <w:right w:val="single" w:color="auto" w:sz="4" w:space="0"/>
            </w:tcBorders>
            <w:noWrap w:val="0"/>
            <w:vAlign w:val="center"/>
          </w:tcPr>
          <w:p w14:paraId="03F8B57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p>
        </w:tc>
      </w:tr>
      <w:tr w14:paraId="39AB654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02" w:type="pct"/>
            <w:tcBorders>
              <w:top w:val="single" w:color="000000" w:sz="4" w:space="0"/>
              <w:left w:val="single" w:color="auto" w:sz="4" w:space="0"/>
              <w:bottom w:val="single" w:color="000000" w:sz="4" w:space="0"/>
              <w:right w:val="single" w:color="000000" w:sz="4" w:space="0"/>
            </w:tcBorders>
            <w:noWrap w:val="0"/>
            <w:vAlign w:val="center"/>
          </w:tcPr>
          <w:p w14:paraId="1B93F79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4E8D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礼仪</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064F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16</w:t>
            </w:r>
          </w:p>
        </w:tc>
        <w:tc>
          <w:tcPr>
            <w:tcW w:w="338"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CCE31A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888"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6BA3EC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马克思主义学院（基础教学部）</w:t>
            </w:r>
          </w:p>
        </w:tc>
        <w:tc>
          <w:tcPr>
            <w:tcW w:w="897"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142B62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第三学期</w:t>
            </w:r>
          </w:p>
        </w:tc>
        <w:tc>
          <w:tcPr>
            <w:tcW w:w="1268"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B81D27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r>
      <w:tr w14:paraId="06A01DA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02" w:type="pct"/>
            <w:tcBorders>
              <w:top w:val="single" w:color="000000" w:sz="4" w:space="0"/>
              <w:left w:val="single" w:color="auto" w:sz="4" w:space="0"/>
              <w:bottom w:val="single" w:color="000000" w:sz="4" w:space="0"/>
              <w:right w:val="single" w:color="000000" w:sz="4" w:space="0"/>
            </w:tcBorders>
            <w:noWrap w:val="0"/>
            <w:vAlign w:val="center"/>
          </w:tcPr>
          <w:p w14:paraId="0BA0A9D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3</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75B9865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创新创业教育</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14:paraId="72E7E0B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16</w:t>
            </w:r>
          </w:p>
        </w:tc>
        <w:tc>
          <w:tcPr>
            <w:tcW w:w="338" w:type="pct"/>
            <w:tcBorders>
              <w:top w:val="single" w:color="000000" w:sz="4" w:space="0"/>
              <w:left w:val="single" w:color="000000" w:sz="4" w:space="0"/>
              <w:bottom w:val="single" w:color="000000" w:sz="4" w:space="0"/>
              <w:right w:val="single" w:color="auto" w:sz="4" w:space="0"/>
            </w:tcBorders>
            <w:noWrap w:val="0"/>
            <w:vAlign w:val="center"/>
          </w:tcPr>
          <w:p w14:paraId="0CA84C9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888" w:type="pct"/>
            <w:tcBorders>
              <w:top w:val="single" w:color="000000" w:sz="4" w:space="0"/>
              <w:left w:val="single" w:color="000000" w:sz="4" w:space="0"/>
              <w:bottom w:val="single" w:color="000000" w:sz="4" w:space="0"/>
              <w:right w:val="single" w:color="auto" w:sz="4" w:space="0"/>
            </w:tcBorders>
            <w:noWrap w:val="0"/>
            <w:vAlign w:val="center"/>
          </w:tcPr>
          <w:p w14:paraId="301E6D8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创业创新中心</w:t>
            </w:r>
          </w:p>
        </w:tc>
        <w:tc>
          <w:tcPr>
            <w:tcW w:w="897" w:type="pct"/>
            <w:tcBorders>
              <w:top w:val="single" w:color="000000" w:sz="4" w:space="0"/>
              <w:left w:val="single" w:color="000000" w:sz="4" w:space="0"/>
              <w:bottom w:val="single" w:color="000000" w:sz="4" w:space="0"/>
              <w:right w:val="single" w:color="auto" w:sz="4" w:space="0"/>
            </w:tcBorders>
            <w:noWrap w:val="0"/>
            <w:vAlign w:val="center"/>
          </w:tcPr>
          <w:p w14:paraId="40B63A0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第四学期</w:t>
            </w:r>
          </w:p>
        </w:tc>
        <w:tc>
          <w:tcPr>
            <w:tcW w:w="1268" w:type="pct"/>
            <w:tcBorders>
              <w:top w:val="single" w:color="000000" w:sz="4" w:space="0"/>
              <w:left w:val="single" w:color="000000" w:sz="4" w:space="0"/>
              <w:bottom w:val="single" w:color="000000" w:sz="4" w:space="0"/>
              <w:right w:val="single" w:color="auto" w:sz="4" w:space="0"/>
            </w:tcBorders>
            <w:noWrap w:val="0"/>
            <w:vAlign w:val="center"/>
          </w:tcPr>
          <w:p w14:paraId="14A0438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p>
        </w:tc>
      </w:tr>
    </w:tbl>
    <w:p w14:paraId="472191AB">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3.</w:t>
      </w:r>
      <w:r>
        <w:rPr>
          <w:rFonts w:hint="eastAsia"/>
          <w:sz w:val="24"/>
          <w:szCs w:val="24"/>
          <w:lang w:val="en-US" w:eastAsia="zh-CN"/>
        </w:rPr>
        <w:t>公共</w:t>
      </w:r>
      <w:r>
        <w:rPr>
          <w:rFonts w:hint="eastAsia"/>
          <w:sz w:val="24"/>
          <w:szCs w:val="24"/>
        </w:rPr>
        <w:t>任选课</w:t>
      </w:r>
    </w:p>
    <w:p w14:paraId="7DAFE2F1">
      <w:pPr>
        <w:pageBreakBefore w:val="0"/>
        <w:kinsoku/>
        <w:wordWrap/>
        <w:overflowPunct/>
        <w:topLinePunct w:val="0"/>
        <w:autoSpaceDE/>
        <w:autoSpaceDN/>
        <w:bidi w:val="0"/>
        <w:spacing w:line="360" w:lineRule="auto"/>
        <w:ind w:left="0" w:right="0" w:rightChars="0"/>
        <w:rPr>
          <w:rFonts w:hint="eastAsia" w:eastAsia="宋体"/>
          <w:sz w:val="24"/>
          <w:szCs w:val="22"/>
          <w:lang w:val="en-US" w:eastAsia="zh-CN"/>
        </w:rPr>
      </w:pPr>
      <w:r>
        <w:rPr>
          <w:rFonts w:hint="eastAsia"/>
          <w:sz w:val="24"/>
          <w:szCs w:val="22"/>
          <w:lang w:val="en-US" w:eastAsia="zh-CN"/>
        </w:rPr>
        <w:t>公共</w:t>
      </w:r>
      <w:r>
        <w:rPr>
          <w:rFonts w:hint="eastAsia"/>
          <w:sz w:val="24"/>
          <w:szCs w:val="22"/>
        </w:rPr>
        <w:t>任选课为公共选修课程，包括公共艺术类、传统文化类、创新创业类、人文素养类、自然科学类、信息技术类等课程，学生在第二至第五学期从学院提供的</w:t>
      </w:r>
      <w:r>
        <w:rPr>
          <w:rFonts w:hint="eastAsia"/>
          <w:sz w:val="24"/>
          <w:szCs w:val="22"/>
          <w:lang w:val="en-US" w:eastAsia="zh-CN"/>
        </w:rPr>
        <w:t>公共</w:t>
      </w:r>
      <w:r>
        <w:rPr>
          <w:rFonts w:hint="eastAsia"/>
          <w:sz w:val="24"/>
          <w:szCs w:val="22"/>
        </w:rPr>
        <w:t>任选课程清单中进行</w:t>
      </w:r>
      <w:r>
        <w:rPr>
          <w:rFonts w:hint="eastAsia"/>
          <w:sz w:val="24"/>
          <w:szCs w:val="22"/>
          <w:lang w:val="en-US" w:eastAsia="zh-CN"/>
        </w:rPr>
        <w:t>选修</w:t>
      </w:r>
      <w:r>
        <w:rPr>
          <w:rFonts w:hint="eastAsia"/>
          <w:sz w:val="24"/>
          <w:szCs w:val="22"/>
        </w:rPr>
        <w:t>，选修4-6个学分，具体由教务处统筹。</w:t>
      </w:r>
    </w:p>
    <w:p w14:paraId="45668602">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47" w:name="_Toc7640"/>
      <w:bookmarkStart w:id="48" w:name="_Toc8351"/>
      <w:r>
        <w:rPr>
          <w:rFonts w:hint="eastAsia" w:asciiTheme="minorEastAsia" w:hAnsiTheme="minorEastAsia" w:eastAsiaTheme="minorEastAsia" w:cstheme="minorEastAsia"/>
          <w:sz w:val="28"/>
          <w:szCs w:val="28"/>
          <w:lang w:val="en-US" w:eastAsia="zh-CN"/>
        </w:rPr>
        <w:t>（四）专业（技能）课程</w:t>
      </w:r>
      <w:bookmarkEnd w:id="47"/>
      <w:bookmarkEnd w:id="48"/>
    </w:p>
    <w:p w14:paraId="32D7B601">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专业（技能）课程</w:t>
      </w:r>
      <w:r>
        <w:rPr>
          <w:rFonts w:hint="eastAsia"/>
          <w:sz w:val="24"/>
          <w:szCs w:val="22"/>
          <w:lang w:val="en-US" w:eastAsia="zh-CN"/>
        </w:rPr>
        <w:t>90</w:t>
      </w:r>
      <w:r>
        <w:rPr>
          <w:rFonts w:hint="eastAsia"/>
          <w:sz w:val="24"/>
          <w:szCs w:val="22"/>
        </w:rPr>
        <w:t>学分，占总学分的</w:t>
      </w:r>
      <w:r>
        <w:rPr>
          <w:rFonts w:hint="eastAsia"/>
          <w:sz w:val="24"/>
          <w:szCs w:val="22"/>
          <w:lang w:val="en-US" w:eastAsia="zh-CN"/>
        </w:rPr>
        <w:t>64.3</w:t>
      </w:r>
      <w:r>
        <w:rPr>
          <w:rFonts w:hint="eastAsia"/>
          <w:sz w:val="24"/>
          <w:szCs w:val="22"/>
        </w:rPr>
        <w:t>%，包括专业基础课程、专业核心课程、专业实践课程和专业方向（选修）课程。</w:t>
      </w:r>
    </w:p>
    <w:p w14:paraId="7DC96923">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1.专业基础课程</w:t>
      </w:r>
    </w:p>
    <w:p w14:paraId="03D350BB">
      <w:pPr>
        <w:keepNext w:val="0"/>
        <w:keepLines w:val="0"/>
        <w:widowControl/>
        <w:suppressLineNumbers w:val="0"/>
        <w:jc w:val="left"/>
        <w:rPr>
          <w:rFonts w:hint="eastAsia"/>
          <w:sz w:val="24"/>
          <w:szCs w:val="22"/>
          <w:lang w:eastAsia="zh-CN"/>
        </w:rPr>
      </w:pPr>
      <w:bookmarkStart w:id="49" w:name="_Toc891"/>
      <w:r>
        <w:rPr>
          <w:rFonts w:hint="eastAsia"/>
          <w:sz w:val="24"/>
          <w:szCs w:val="22"/>
        </w:rPr>
        <w:t>专业基础课程设置</w:t>
      </w:r>
      <w:r>
        <w:rPr>
          <w:rFonts w:hint="eastAsia"/>
          <w:sz w:val="24"/>
          <w:szCs w:val="22"/>
          <w:lang w:val="en-US" w:eastAsia="zh-CN"/>
        </w:rPr>
        <w:t>8</w:t>
      </w:r>
      <w:r>
        <w:rPr>
          <w:rFonts w:hint="eastAsia"/>
          <w:sz w:val="24"/>
          <w:szCs w:val="22"/>
        </w:rPr>
        <w:t>门，包括</w:t>
      </w:r>
      <w:r>
        <w:rPr>
          <w:rFonts w:hint="eastAsia"/>
          <w:sz w:val="24"/>
          <w:szCs w:val="22"/>
          <w:lang w:val="en-US" w:eastAsia="zh-CN"/>
        </w:rPr>
        <w:t>基础化学</w:t>
      </w:r>
      <w:r>
        <w:rPr>
          <w:rFonts w:hint="eastAsia"/>
          <w:sz w:val="24"/>
          <w:szCs w:val="22"/>
        </w:rPr>
        <w:t>、</w:t>
      </w:r>
      <w:r>
        <w:rPr>
          <w:rFonts w:hint="eastAsia"/>
          <w:sz w:val="24"/>
          <w:szCs w:val="22"/>
          <w:lang w:val="en-US" w:eastAsia="zh-CN"/>
        </w:rPr>
        <w:t>分析化学、食品生物化学</w:t>
      </w:r>
      <w:r>
        <w:rPr>
          <w:rFonts w:hint="eastAsia"/>
          <w:sz w:val="24"/>
          <w:szCs w:val="22"/>
        </w:rPr>
        <w:t>、</w:t>
      </w:r>
      <w:r>
        <w:rPr>
          <w:rFonts w:hint="eastAsia"/>
          <w:sz w:val="24"/>
          <w:szCs w:val="22"/>
          <w:lang w:val="en-US" w:eastAsia="zh-CN"/>
        </w:rPr>
        <w:t>食品微生物</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基础</w:t>
      </w:r>
      <w:r>
        <w:rPr>
          <w:rFonts w:hint="eastAsia"/>
          <w:sz w:val="24"/>
          <w:szCs w:val="22"/>
        </w:rPr>
        <w:t>、</w:t>
      </w:r>
      <w:r>
        <w:rPr>
          <w:rFonts w:hint="eastAsia"/>
          <w:sz w:val="24"/>
          <w:szCs w:val="22"/>
          <w:lang w:val="en-US" w:eastAsia="zh-CN"/>
        </w:rPr>
        <w:t>食品加工技术概论</w:t>
      </w:r>
      <w:r>
        <w:rPr>
          <w:rFonts w:hint="eastAsia"/>
          <w:sz w:val="24"/>
          <w:szCs w:val="22"/>
        </w:rPr>
        <w:t>、</w:t>
      </w:r>
      <w:r>
        <w:rPr>
          <w:rFonts w:hint="eastAsia"/>
          <w:sz w:val="24"/>
          <w:szCs w:val="22"/>
          <w:lang w:val="en-US" w:eastAsia="zh-CN"/>
        </w:rPr>
        <w:t>食品营养学、食品安全与卫生和食品标准与法规</w:t>
      </w:r>
      <w:r>
        <w:rPr>
          <w:rFonts w:hint="eastAsia"/>
          <w:sz w:val="24"/>
          <w:szCs w:val="22"/>
        </w:rPr>
        <w:t>。</w:t>
      </w:r>
      <w:bookmarkEnd w:id="49"/>
    </w:p>
    <w:p w14:paraId="08A09CA7">
      <w:pPr>
        <w:pageBreakBefore w:val="0"/>
        <w:kinsoku/>
        <w:wordWrap/>
        <w:overflowPunct/>
        <w:topLinePunct w:val="0"/>
        <w:autoSpaceDE/>
        <w:autoSpaceDN/>
        <w:bidi w:val="0"/>
        <w:spacing w:line="360" w:lineRule="auto"/>
        <w:ind w:left="0" w:right="0" w:rightChars="0"/>
        <w:rPr>
          <w:rFonts w:hint="eastAsia"/>
        </w:rPr>
      </w:pPr>
    </w:p>
    <w:p w14:paraId="78D693C0">
      <w:pPr>
        <w:pStyle w:val="4"/>
        <w:pageBreakBefore w:val="0"/>
        <w:kinsoku/>
        <w:wordWrap/>
        <w:overflowPunct/>
        <w:topLinePunct w:val="0"/>
        <w:autoSpaceDE/>
        <w:autoSpaceDN/>
        <w:bidi w:val="0"/>
        <w:spacing w:line="360" w:lineRule="auto"/>
        <w:ind w:left="0" w:right="0" w:rightChars="0"/>
        <w:rPr>
          <w:rFonts w:hint="eastAsia"/>
          <w:sz w:val="24"/>
          <w:szCs w:val="24"/>
        </w:rPr>
      </w:pPr>
      <w:bookmarkStart w:id="50" w:name="_Toc24783"/>
      <w:r>
        <w:rPr>
          <w:rFonts w:hint="eastAsia"/>
          <w:sz w:val="24"/>
          <w:szCs w:val="24"/>
        </w:rPr>
        <w:t>2.专业核心课程</w:t>
      </w:r>
      <w:bookmarkEnd w:id="50"/>
    </w:p>
    <w:p w14:paraId="4C18B779">
      <w:pPr>
        <w:keepNext w:val="0"/>
        <w:keepLines w:val="0"/>
        <w:widowControl/>
        <w:suppressLineNumbers w:val="0"/>
        <w:jc w:val="left"/>
        <w:rPr>
          <w:rFonts w:hint="eastAsia"/>
          <w:sz w:val="24"/>
          <w:szCs w:val="22"/>
          <w:highlight w:val="yellow"/>
          <w:lang w:eastAsia="zh-CN"/>
        </w:rPr>
      </w:pPr>
      <w:bookmarkStart w:id="51" w:name="_Toc5205"/>
      <w:r>
        <w:rPr>
          <w:rFonts w:hint="eastAsia"/>
          <w:sz w:val="24"/>
          <w:szCs w:val="22"/>
        </w:rPr>
        <w:t>专业核心课程设置</w:t>
      </w:r>
      <w:r>
        <w:rPr>
          <w:rFonts w:hint="eastAsia"/>
          <w:sz w:val="24"/>
          <w:szCs w:val="22"/>
          <w:lang w:val="en-US" w:eastAsia="zh-CN"/>
        </w:rPr>
        <w:t>7</w:t>
      </w:r>
      <w:r>
        <w:rPr>
          <w:rFonts w:hint="eastAsia"/>
          <w:sz w:val="24"/>
          <w:szCs w:val="22"/>
        </w:rPr>
        <w:t>门，</w:t>
      </w:r>
      <w:bookmarkEnd w:id="51"/>
      <w:r>
        <w:rPr>
          <w:rFonts w:hint="eastAsia"/>
          <w:sz w:val="24"/>
          <w:szCs w:val="22"/>
        </w:rPr>
        <w:t>包括</w:t>
      </w:r>
      <w:r>
        <w:rPr>
          <w:rFonts w:hint="eastAsia"/>
          <w:sz w:val="24"/>
          <w:szCs w:val="22"/>
          <w:lang w:val="en-US" w:eastAsia="zh-CN"/>
        </w:rPr>
        <w:t>食品理化检验</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技术</w:t>
      </w:r>
      <w:r>
        <w:rPr>
          <w:rFonts w:hint="eastAsia"/>
          <w:sz w:val="24"/>
          <w:szCs w:val="22"/>
        </w:rPr>
        <w:t>、</w:t>
      </w:r>
      <w:r>
        <w:rPr>
          <w:rFonts w:hint="eastAsia"/>
          <w:sz w:val="24"/>
          <w:szCs w:val="22"/>
          <w:lang w:val="en-US" w:eastAsia="zh-CN"/>
        </w:rPr>
        <w:t>食品微生物检验</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技术</w:t>
      </w:r>
      <w:r>
        <w:rPr>
          <w:rFonts w:hint="eastAsia"/>
          <w:sz w:val="24"/>
          <w:szCs w:val="22"/>
        </w:rPr>
        <w:t>、</w:t>
      </w:r>
      <w:r>
        <w:rPr>
          <w:rFonts w:hint="eastAsia"/>
          <w:sz w:val="24"/>
          <w:szCs w:val="22"/>
          <w:lang w:val="en-US" w:eastAsia="zh-CN"/>
        </w:rPr>
        <w:t>食品仪器分析</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技术</w:t>
      </w:r>
      <w:r>
        <w:rPr>
          <w:rFonts w:hint="eastAsia"/>
          <w:sz w:val="24"/>
          <w:szCs w:val="22"/>
        </w:rPr>
        <w:t>、</w:t>
      </w:r>
      <w:r>
        <w:rPr>
          <w:rFonts w:hint="eastAsia"/>
          <w:sz w:val="24"/>
          <w:szCs w:val="22"/>
          <w:lang w:val="en-US" w:eastAsia="zh-CN"/>
        </w:rPr>
        <w:t>食品感官分析</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技术</w:t>
      </w:r>
      <w:r>
        <w:rPr>
          <w:rFonts w:hint="eastAsia"/>
          <w:sz w:val="24"/>
          <w:szCs w:val="22"/>
        </w:rPr>
        <w:t>、</w:t>
      </w:r>
      <w:r>
        <w:rPr>
          <w:rFonts w:hint="eastAsia"/>
          <w:sz w:val="24"/>
          <w:szCs w:val="22"/>
          <w:lang w:val="en-US" w:eastAsia="zh-CN"/>
        </w:rPr>
        <w:t>食品快速检测</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技术</w:t>
      </w:r>
      <w:r>
        <w:rPr>
          <w:rFonts w:hint="eastAsia"/>
          <w:sz w:val="24"/>
          <w:szCs w:val="22"/>
          <w:lang w:val="en-US" w:eastAsia="zh-CN"/>
        </w:rPr>
        <w:t>、检测实验室管理与运行和食品质量安全与控制</w:t>
      </w:r>
      <w:r>
        <w:rPr>
          <w:rFonts w:hint="eastAsia"/>
          <w:sz w:val="24"/>
          <w:szCs w:val="22"/>
        </w:rPr>
        <w:t>。</w:t>
      </w:r>
    </w:p>
    <w:p w14:paraId="4D60CDA4">
      <w:pPr>
        <w:bidi w:val="0"/>
        <w:rPr>
          <w:rFonts w:hint="eastAsia"/>
        </w:rPr>
      </w:pPr>
    </w:p>
    <w:p w14:paraId="6202A6B9">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3.专业实践课程</w:t>
      </w:r>
    </w:p>
    <w:p w14:paraId="3E7E92F3">
      <w:pPr>
        <w:pageBreakBefore w:val="0"/>
        <w:kinsoku/>
        <w:wordWrap/>
        <w:overflowPunct/>
        <w:topLinePunct w:val="0"/>
        <w:autoSpaceDE/>
        <w:autoSpaceDN/>
        <w:bidi w:val="0"/>
        <w:spacing w:line="360" w:lineRule="auto"/>
        <w:ind w:left="0" w:right="0" w:rightChars="0"/>
        <w:rPr>
          <w:rFonts w:hint="eastAsia"/>
          <w:sz w:val="24"/>
          <w:szCs w:val="22"/>
        </w:rPr>
      </w:pPr>
      <w:bookmarkStart w:id="52" w:name="_Toc4204"/>
      <w:r>
        <w:rPr>
          <w:rFonts w:hint="eastAsia" w:ascii="Times New Roman" w:hAnsi="Times New Roman"/>
          <w:sz w:val="24"/>
        </w:rPr>
        <w:t>专业实践课程是为培养学生的基本实践能力与操作技能、专业技术应用能力与专业技能、综合实践能力与综合技能所开设的课程。</w:t>
      </w:r>
      <w:r>
        <w:rPr>
          <w:sz w:val="24"/>
          <w:szCs w:val="22"/>
        </w:rPr>
        <w:t>根据专业岗位对</w:t>
      </w:r>
      <w:r>
        <w:rPr>
          <w:rFonts w:hint="eastAsia"/>
          <w:sz w:val="24"/>
          <w:szCs w:val="22"/>
        </w:rPr>
        <w:t>食品检验检测技术</w:t>
      </w:r>
      <w:r>
        <w:rPr>
          <w:sz w:val="24"/>
          <w:szCs w:val="22"/>
        </w:rPr>
        <w:t>人才的复合性要求设置</w:t>
      </w:r>
      <w:r>
        <w:rPr>
          <w:rFonts w:hint="eastAsia"/>
          <w:sz w:val="24"/>
          <w:szCs w:val="22"/>
          <w:lang w:val="en-US" w:eastAsia="zh-CN"/>
        </w:rPr>
        <w:t>3门。包括</w:t>
      </w:r>
      <w:r>
        <w:rPr>
          <w:rFonts w:hint="default"/>
          <w:sz w:val="24"/>
          <w:szCs w:val="22"/>
        </w:rPr>
        <w:t>食品检验基础技能</w:t>
      </w:r>
      <w:r>
        <w:rPr>
          <w:rFonts w:hint="eastAsia"/>
          <w:sz w:val="24"/>
          <w:szCs w:val="22"/>
          <w:lang w:val="en-US" w:eastAsia="zh-CN"/>
        </w:rPr>
        <w:t>实训、</w:t>
      </w:r>
      <w:r>
        <w:rPr>
          <w:rFonts w:hint="default"/>
          <w:sz w:val="24"/>
          <w:szCs w:val="22"/>
        </w:rPr>
        <w:t>食品理化与微生物检验</w:t>
      </w:r>
      <w:r>
        <w:rPr>
          <w:rFonts w:hint="eastAsia"/>
          <w:sz w:val="24"/>
          <w:szCs w:val="22"/>
          <w:lang w:val="en-US" w:eastAsia="zh-CN"/>
        </w:rPr>
        <w:t>实训、</w:t>
      </w:r>
      <w:r>
        <w:rPr>
          <w:rFonts w:hint="default"/>
          <w:sz w:val="24"/>
          <w:szCs w:val="22"/>
        </w:rPr>
        <w:t>食品检验综合项目</w:t>
      </w:r>
      <w:r>
        <w:rPr>
          <w:rFonts w:hint="eastAsia"/>
          <w:sz w:val="24"/>
          <w:szCs w:val="22"/>
          <w:lang w:val="en-US" w:eastAsia="zh-CN"/>
        </w:rPr>
        <w:t>实训</w:t>
      </w:r>
      <w:bookmarkEnd w:id="52"/>
      <w:r>
        <w:rPr>
          <w:rFonts w:hint="eastAsia"/>
          <w:sz w:val="24"/>
          <w:szCs w:val="22"/>
          <w:lang w:val="en-US" w:eastAsia="zh-CN"/>
        </w:rPr>
        <w:t>。</w:t>
      </w:r>
    </w:p>
    <w:p w14:paraId="4B13FFEE">
      <w:pPr>
        <w:pStyle w:val="4"/>
        <w:pageBreakBefore w:val="0"/>
        <w:numPr>
          <w:ilvl w:val="0"/>
          <w:numId w:val="3"/>
        </w:numPr>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专业方向（选修）课程</w:t>
      </w:r>
    </w:p>
    <w:p w14:paraId="75693C5B">
      <w:pPr>
        <w:pageBreakBefore w:val="0"/>
        <w:kinsoku/>
        <w:wordWrap/>
        <w:overflowPunct/>
        <w:topLinePunct w:val="0"/>
        <w:autoSpaceDE/>
        <w:autoSpaceDN/>
        <w:bidi w:val="0"/>
        <w:adjustRightInd w:val="0"/>
        <w:snapToGrid w:val="0"/>
        <w:spacing w:line="360" w:lineRule="auto"/>
        <w:ind w:left="0" w:right="0" w:rightChars="0" w:firstLine="470" w:firstLineChars="196"/>
        <w:rPr>
          <w:rFonts w:hint="eastAsia"/>
          <w:sz w:val="24"/>
          <w:szCs w:val="22"/>
          <w:highlight w:val="yellow"/>
          <w:lang w:eastAsia="zh-CN"/>
        </w:rPr>
      </w:pPr>
      <w:r>
        <w:rPr>
          <w:rFonts w:hint="eastAsia" w:cs="宋体"/>
          <w:bCs/>
          <w:color w:val="000000"/>
          <w:sz w:val="24"/>
          <w:lang w:bidi="ar"/>
        </w:rPr>
        <w:t>专业方向（选修）课程设置</w:t>
      </w:r>
      <w:r>
        <w:rPr>
          <w:rFonts w:hint="eastAsia" w:cs="宋体"/>
          <w:bCs/>
          <w:color w:val="000000"/>
          <w:sz w:val="24"/>
          <w:lang w:val="en-US" w:eastAsia="zh-CN" w:bidi="ar"/>
        </w:rPr>
        <w:t>2</w:t>
      </w:r>
      <w:r>
        <w:rPr>
          <w:rFonts w:hint="eastAsia" w:cs="宋体"/>
          <w:bCs/>
          <w:color w:val="000000"/>
          <w:sz w:val="24"/>
          <w:lang w:bidi="ar"/>
        </w:rPr>
        <w:t>门</w:t>
      </w:r>
      <w:r>
        <w:rPr>
          <w:rFonts w:hint="eastAsia" w:cs="宋体"/>
          <w:bCs/>
          <w:color w:val="000000"/>
          <w:sz w:val="24"/>
          <w:lang w:val="en-US" w:eastAsia="zh-CN" w:bidi="ar"/>
        </w:rPr>
        <w:t>/模块</w:t>
      </w:r>
      <w:r>
        <w:rPr>
          <w:rFonts w:hint="eastAsia" w:cs="宋体"/>
          <w:bCs/>
          <w:color w:val="000000"/>
          <w:sz w:val="24"/>
          <w:lang w:bidi="ar"/>
        </w:rPr>
        <w:t>，</w:t>
      </w:r>
      <w:r>
        <w:rPr>
          <w:rFonts w:hint="eastAsia" w:cs="宋体"/>
          <w:bCs/>
          <w:color w:val="000000"/>
          <w:sz w:val="24"/>
          <w:lang w:val="en-US" w:eastAsia="zh-CN" w:bidi="ar"/>
        </w:rPr>
        <w:t>主要有</w:t>
      </w:r>
      <w:r>
        <w:rPr>
          <w:rFonts w:hint="eastAsia" w:cs="宋体"/>
          <w:bCs/>
          <w:color w:val="000000"/>
          <w:sz w:val="24"/>
          <w:lang w:bidi="ar"/>
        </w:rPr>
        <w:t>模块一（焙烤食品工艺、</w:t>
      </w:r>
      <w:r>
        <w:rPr>
          <w:rFonts w:hint="eastAsia" w:cs="宋体"/>
          <w:bCs/>
          <w:color w:val="000000"/>
          <w:sz w:val="24"/>
          <w:lang w:val="en-US" w:eastAsia="zh-CN" w:bidi="ar"/>
        </w:rPr>
        <w:t>食品安全监督管理</w:t>
      </w:r>
      <w:r>
        <w:rPr>
          <w:rFonts w:hint="eastAsia" w:cs="宋体"/>
          <w:bCs/>
          <w:color w:val="000000"/>
          <w:sz w:val="24"/>
          <w:lang w:eastAsia="zh-CN" w:bidi="ar"/>
        </w:rPr>
        <w:t>）</w:t>
      </w:r>
      <w:r>
        <w:rPr>
          <w:rFonts w:hint="eastAsia" w:cs="宋体"/>
          <w:bCs/>
          <w:color w:val="000000"/>
          <w:sz w:val="24"/>
          <w:lang w:bidi="ar"/>
        </w:rPr>
        <w:t>、模块</w:t>
      </w:r>
      <w:r>
        <w:rPr>
          <w:rFonts w:hint="eastAsia" w:cs="宋体"/>
          <w:bCs/>
          <w:color w:val="000000"/>
          <w:sz w:val="24"/>
          <w:lang w:val="en-US" w:eastAsia="zh-CN" w:bidi="ar"/>
        </w:rPr>
        <w:t>二</w:t>
      </w:r>
      <w:r>
        <w:rPr>
          <w:rFonts w:hint="eastAsia" w:cs="宋体"/>
          <w:bCs/>
          <w:color w:val="000000"/>
          <w:sz w:val="24"/>
          <w:lang w:bidi="ar"/>
        </w:rPr>
        <w:t>（</w:t>
      </w:r>
      <w:r>
        <w:rPr>
          <w:rFonts w:hint="eastAsia" w:cs="宋体"/>
          <w:bCs/>
          <w:color w:val="000000"/>
          <w:sz w:val="24"/>
          <w:lang w:val="en-US" w:eastAsia="zh-CN" w:bidi="ar"/>
        </w:rPr>
        <w:t>食品添加剂及应用</w:t>
      </w:r>
      <w:r>
        <w:rPr>
          <w:rFonts w:hint="eastAsia" w:cs="宋体"/>
          <w:bCs/>
          <w:color w:val="000000"/>
          <w:sz w:val="24"/>
          <w:lang w:bidi="ar"/>
        </w:rPr>
        <w:t>、</w:t>
      </w:r>
      <w:r>
        <w:rPr>
          <w:rFonts w:hint="eastAsia" w:cs="宋体"/>
          <w:bCs/>
          <w:color w:val="000000"/>
          <w:sz w:val="24"/>
          <w:lang w:val="en-US" w:eastAsia="zh-CN" w:bidi="ar"/>
        </w:rPr>
        <w:t>食品营养与健康</w:t>
      </w:r>
      <w:r>
        <w:rPr>
          <w:rFonts w:hint="eastAsia" w:cs="宋体"/>
          <w:bCs/>
          <w:color w:val="000000"/>
          <w:sz w:val="24"/>
          <w:lang w:eastAsia="zh-CN" w:bidi="ar"/>
        </w:rPr>
        <w:t>）</w:t>
      </w:r>
      <w:r>
        <w:rPr>
          <w:rFonts w:hint="eastAsia" w:cs="宋体"/>
          <w:bCs/>
          <w:color w:val="000000"/>
          <w:sz w:val="24"/>
          <w:lang w:bidi="ar"/>
        </w:rPr>
        <w:t>，学生在第</w:t>
      </w:r>
      <w:r>
        <w:rPr>
          <w:rFonts w:hint="eastAsia" w:cs="宋体"/>
          <w:bCs/>
          <w:color w:val="000000"/>
          <w:sz w:val="24"/>
          <w:lang w:val="en-US" w:eastAsia="zh-CN" w:bidi="ar"/>
        </w:rPr>
        <w:t>三、四</w:t>
      </w:r>
      <w:r>
        <w:rPr>
          <w:rFonts w:hint="eastAsia" w:cs="宋体"/>
          <w:bCs/>
          <w:color w:val="000000"/>
          <w:sz w:val="24"/>
          <w:lang w:bidi="ar"/>
        </w:rPr>
        <w:t>学期分别选则其中</w:t>
      </w:r>
      <w:r>
        <w:rPr>
          <w:rFonts w:hint="eastAsia" w:cs="宋体"/>
          <w:bCs/>
          <w:color w:val="000000"/>
          <w:sz w:val="24"/>
          <w:lang w:val="en-US" w:eastAsia="zh-CN" w:bidi="ar"/>
        </w:rPr>
        <w:t>1</w:t>
      </w:r>
      <w:r>
        <w:rPr>
          <w:rFonts w:hint="eastAsia" w:cs="宋体"/>
          <w:bCs/>
          <w:color w:val="000000"/>
          <w:sz w:val="24"/>
          <w:lang w:bidi="ar"/>
        </w:rPr>
        <w:t>门</w:t>
      </w:r>
      <w:r>
        <w:rPr>
          <w:rFonts w:hint="eastAsia" w:cs="宋体"/>
          <w:bCs/>
          <w:color w:val="000000"/>
          <w:sz w:val="24"/>
          <w:lang w:val="en-US" w:eastAsia="zh-CN" w:bidi="ar"/>
        </w:rPr>
        <w:t>/模块进行修读，应至少完成6学分。</w:t>
      </w:r>
    </w:p>
    <w:p w14:paraId="68BE16DF">
      <w:pPr>
        <w:pageBreakBefore w:val="0"/>
        <w:kinsoku/>
        <w:wordWrap/>
        <w:overflowPunct/>
        <w:topLinePunct w:val="0"/>
        <w:autoSpaceDE/>
        <w:autoSpaceDN/>
        <w:bidi w:val="0"/>
        <w:spacing w:line="360" w:lineRule="auto"/>
        <w:ind w:left="0" w:right="0" w:rightChars="0"/>
        <w:rPr>
          <w:rFonts w:hint="eastAsia"/>
          <w:sz w:val="24"/>
          <w:szCs w:val="22"/>
        </w:rPr>
      </w:pPr>
    </w:p>
    <w:p w14:paraId="45AD46DF">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5</w:t>
      </w:r>
      <w:r>
        <w:rPr>
          <w:rFonts w:hint="eastAsia" w:ascii="宋体" w:hAnsi="宋体" w:cs="宋体"/>
          <w:b/>
          <w:sz w:val="21"/>
          <w:szCs w:val="21"/>
        </w:rPr>
        <w:t xml:space="preserve"> 专业（技能）课程教学计划安排表</w:t>
      </w:r>
    </w:p>
    <w:tbl>
      <w:tblPr>
        <w:tblStyle w:val="2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117"/>
        <w:gridCol w:w="690"/>
        <w:gridCol w:w="660"/>
        <w:gridCol w:w="1118"/>
        <w:gridCol w:w="4837"/>
      </w:tblGrid>
      <w:tr w14:paraId="187B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shd w:val="clear" w:color="auto" w:fill="B8CCE4" w:themeFill="accent1" w:themeFillTint="66"/>
            <w:noWrap w:val="0"/>
            <w:vAlign w:val="center"/>
          </w:tcPr>
          <w:p w14:paraId="75AF7A5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bookmarkStart w:id="53" w:name="_Toc26130"/>
            <w:r>
              <w:rPr>
                <w:rFonts w:hint="eastAsia" w:asciiTheme="minorEastAsia" w:hAnsiTheme="minorEastAsia" w:eastAsiaTheme="minorEastAsia" w:cstheme="minorEastAsia"/>
                <w:b/>
                <w:color w:val="auto"/>
                <w:sz w:val="21"/>
                <w:szCs w:val="21"/>
                <w:highlight w:val="none"/>
              </w:rPr>
              <w:t>课程性质</w:t>
            </w:r>
          </w:p>
        </w:tc>
        <w:tc>
          <w:tcPr>
            <w:tcW w:w="1117" w:type="dxa"/>
            <w:shd w:val="clear" w:color="auto" w:fill="B8CCE4" w:themeFill="accent1" w:themeFillTint="66"/>
            <w:noWrap w:val="0"/>
            <w:vAlign w:val="center"/>
          </w:tcPr>
          <w:p w14:paraId="4D14D88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课程名称</w:t>
            </w:r>
          </w:p>
        </w:tc>
        <w:tc>
          <w:tcPr>
            <w:tcW w:w="690" w:type="dxa"/>
            <w:shd w:val="clear" w:color="auto" w:fill="B8CCE4" w:themeFill="accent1" w:themeFillTint="66"/>
            <w:noWrap w:val="0"/>
            <w:vAlign w:val="center"/>
          </w:tcPr>
          <w:p w14:paraId="756B523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学分</w:t>
            </w:r>
          </w:p>
        </w:tc>
        <w:tc>
          <w:tcPr>
            <w:tcW w:w="660" w:type="dxa"/>
            <w:shd w:val="clear" w:color="auto" w:fill="B8CCE4" w:themeFill="accent1" w:themeFillTint="66"/>
            <w:noWrap w:val="0"/>
            <w:vAlign w:val="center"/>
          </w:tcPr>
          <w:p w14:paraId="6B449CF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学时</w:t>
            </w:r>
          </w:p>
        </w:tc>
        <w:tc>
          <w:tcPr>
            <w:tcW w:w="1118" w:type="dxa"/>
            <w:shd w:val="clear" w:color="auto" w:fill="B8CCE4" w:themeFill="accent1" w:themeFillTint="66"/>
            <w:noWrap w:val="0"/>
            <w:vAlign w:val="center"/>
          </w:tcPr>
          <w:p w14:paraId="7377839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开设学期</w:t>
            </w:r>
          </w:p>
        </w:tc>
        <w:tc>
          <w:tcPr>
            <w:tcW w:w="4837" w:type="dxa"/>
            <w:shd w:val="clear" w:color="auto" w:fill="B8CCE4" w:themeFill="accent1" w:themeFillTint="66"/>
            <w:noWrap w:val="0"/>
            <w:vAlign w:val="center"/>
          </w:tcPr>
          <w:p w14:paraId="63A094F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课程主要内容</w:t>
            </w:r>
          </w:p>
        </w:tc>
      </w:tr>
      <w:tr w14:paraId="6FA1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restart"/>
            <w:noWrap w:val="0"/>
            <w:vAlign w:val="center"/>
          </w:tcPr>
          <w:p w14:paraId="2F10508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专业基础课程</w:t>
            </w:r>
          </w:p>
        </w:tc>
        <w:tc>
          <w:tcPr>
            <w:tcW w:w="1117" w:type="dxa"/>
            <w:shd w:val="clear" w:color="auto" w:fill="auto"/>
            <w:noWrap w:val="0"/>
            <w:vAlign w:val="center"/>
          </w:tcPr>
          <w:p w14:paraId="77E3E14D">
            <w:pPr>
              <w:widowControl/>
              <w:spacing w:line="360" w:lineRule="exact"/>
              <w:ind w:firstLine="0" w:firstLineChars="0"/>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基础化学</w:t>
            </w:r>
          </w:p>
        </w:tc>
        <w:tc>
          <w:tcPr>
            <w:tcW w:w="690" w:type="dxa"/>
            <w:shd w:val="clear" w:color="auto" w:fill="auto"/>
            <w:noWrap w:val="0"/>
            <w:vAlign w:val="center"/>
          </w:tcPr>
          <w:p w14:paraId="7578B34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w:t>
            </w:r>
          </w:p>
        </w:tc>
        <w:tc>
          <w:tcPr>
            <w:tcW w:w="660" w:type="dxa"/>
            <w:shd w:val="clear" w:color="auto" w:fill="auto"/>
            <w:noWrap w:val="0"/>
            <w:vAlign w:val="center"/>
          </w:tcPr>
          <w:p w14:paraId="4A0370D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48</w:t>
            </w:r>
          </w:p>
        </w:tc>
        <w:tc>
          <w:tcPr>
            <w:tcW w:w="1118" w:type="dxa"/>
            <w:noWrap w:val="0"/>
            <w:vAlign w:val="center"/>
          </w:tcPr>
          <w:p w14:paraId="2FF7E981">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第一学期</w:t>
            </w:r>
          </w:p>
        </w:tc>
        <w:tc>
          <w:tcPr>
            <w:tcW w:w="4837" w:type="dxa"/>
            <w:noWrap w:val="0"/>
            <w:vAlign w:val="center"/>
          </w:tcPr>
          <w:p w14:paraId="29D3BD79">
            <w:pPr>
              <w:keepNext w:val="0"/>
              <w:keepLines w:val="0"/>
              <w:pageBreakBefore w:val="0"/>
              <w:widowControl w:val="0"/>
              <w:kinsoku/>
              <w:wordWrap/>
              <w:overflowPunct/>
              <w:topLinePunct w:val="0"/>
              <w:autoSpaceDE/>
              <w:autoSpaceDN/>
              <w:bidi w:val="0"/>
              <w:spacing w:line="240" w:lineRule="auto"/>
              <w:ind w:left="0" w:right="0" w:rightChars="0"/>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sz w:val="21"/>
                <w:szCs w:val="21"/>
                <w:lang w:val="en-US" w:eastAsia="zh-CN"/>
              </w:rPr>
              <w:t>本</w:t>
            </w:r>
            <w:r>
              <w:rPr>
                <w:rFonts w:hint="eastAsia" w:asciiTheme="minorEastAsia" w:hAnsiTheme="minorEastAsia" w:eastAsiaTheme="minorEastAsia" w:cstheme="minorEastAsia"/>
                <w:sz w:val="21"/>
                <w:szCs w:val="21"/>
              </w:rPr>
              <w:t>课程主要内容</w:t>
            </w:r>
            <w:r>
              <w:rPr>
                <w:rFonts w:asciiTheme="minorEastAsia" w:hAnsiTheme="minorEastAsia" w:eastAsiaTheme="minorEastAsia" w:cstheme="minorEastAsia"/>
                <w:sz w:val="21"/>
                <w:szCs w:val="21"/>
              </w:rPr>
              <w:t>包括</w:t>
            </w:r>
            <w:r>
              <w:rPr>
                <w:rFonts w:hint="eastAsia" w:asciiTheme="minorEastAsia" w:hAnsiTheme="minorEastAsia" w:eastAsiaTheme="minorEastAsia" w:cstheme="minorEastAsia"/>
                <w:bCs/>
                <w:sz w:val="21"/>
                <w:szCs w:val="21"/>
              </w:rPr>
              <w:t>原子结构与元素周期系；化学键和分子结构；溶液的浓度；胶体溶液；化学反应速率；影响反应速率的因素；化学平衡；酸碱质子理论；弱电解质的解离平衡和溶液的 PH；同离子效应；沉淀溶解平衡；配位化合物的基本概念；配位平衡等。</w:t>
            </w:r>
          </w:p>
        </w:tc>
      </w:tr>
      <w:tr w14:paraId="780C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continue"/>
            <w:noWrap w:val="0"/>
            <w:vAlign w:val="center"/>
          </w:tcPr>
          <w:p w14:paraId="5ECD33EA">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17" w:type="dxa"/>
            <w:shd w:val="clear" w:color="auto" w:fill="auto"/>
            <w:noWrap w:val="0"/>
            <w:vAlign w:val="center"/>
          </w:tcPr>
          <w:p w14:paraId="15A97A40">
            <w:pPr>
              <w:widowControl/>
              <w:spacing w:line="360" w:lineRule="exact"/>
              <w:ind w:firstLine="0" w:firstLineChars="0"/>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食品生物化学</w:t>
            </w:r>
          </w:p>
        </w:tc>
        <w:tc>
          <w:tcPr>
            <w:tcW w:w="690" w:type="dxa"/>
            <w:shd w:val="clear" w:color="auto" w:fill="auto"/>
            <w:noWrap w:val="0"/>
            <w:vAlign w:val="center"/>
          </w:tcPr>
          <w:p w14:paraId="5B9EE04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660" w:type="dxa"/>
            <w:shd w:val="clear" w:color="auto" w:fill="auto"/>
            <w:noWrap w:val="0"/>
            <w:vAlign w:val="center"/>
          </w:tcPr>
          <w:p w14:paraId="5C9F08C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1118" w:type="dxa"/>
            <w:noWrap w:val="0"/>
            <w:vAlign w:val="center"/>
          </w:tcPr>
          <w:p w14:paraId="406D26B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第二学期</w:t>
            </w:r>
          </w:p>
        </w:tc>
        <w:tc>
          <w:tcPr>
            <w:tcW w:w="4837" w:type="dxa"/>
            <w:noWrap w:val="0"/>
            <w:vAlign w:val="center"/>
          </w:tcPr>
          <w:p w14:paraId="53FBAE82">
            <w:pPr>
              <w:keepNext w:val="0"/>
              <w:keepLines w:val="0"/>
              <w:pageBreakBefore w:val="0"/>
              <w:widowControl w:val="0"/>
              <w:kinsoku/>
              <w:wordWrap/>
              <w:overflowPunct/>
              <w:topLinePunct w:val="0"/>
              <w:autoSpaceDE/>
              <w:autoSpaceDN/>
              <w:bidi w:val="0"/>
              <w:spacing w:line="240" w:lineRule="auto"/>
              <w:ind w:left="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lang w:val="en-US" w:eastAsia="zh-CN"/>
              </w:rPr>
              <w:t>本</w:t>
            </w:r>
            <w:r>
              <w:rPr>
                <w:rFonts w:hint="eastAsia" w:asciiTheme="minorEastAsia" w:hAnsiTheme="minorEastAsia" w:eastAsiaTheme="minorEastAsia" w:cstheme="minorEastAsia"/>
                <w:sz w:val="21"/>
                <w:szCs w:val="21"/>
              </w:rPr>
              <w:t>课程主要内容</w:t>
            </w:r>
            <w:r>
              <w:rPr>
                <w:rFonts w:asciiTheme="minorEastAsia" w:hAnsiTheme="minorEastAsia" w:eastAsiaTheme="minorEastAsia" w:cstheme="minorEastAsia"/>
                <w:sz w:val="21"/>
                <w:szCs w:val="21"/>
              </w:rPr>
              <w:t>包括</w:t>
            </w:r>
            <w:r>
              <w:rPr>
                <w:rFonts w:hint="eastAsia" w:asciiTheme="minorEastAsia" w:hAnsiTheme="minorEastAsia" w:eastAsiaTheme="minorEastAsia" w:cstheme="minorEastAsia"/>
                <w:sz w:val="21"/>
                <w:szCs w:val="21"/>
              </w:rPr>
              <w:t>糖、脂、蛋白质、维生素、核酸、酶、物质代谢、色香味及嫌忌成分等内容，学生能掌握食品的化学组成、结构、性质、生理功能及物质变化规律，具备以食品、食品原料、酶制剂等为载体用化学方法分析生命现象、食品成分的基本操作技能。</w:t>
            </w:r>
          </w:p>
        </w:tc>
      </w:tr>
      <w:tr w14:paraId="1543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continue"/>
            <w:noWrap w:val="0"/>
            <w:vAlign w:val="center"/>
          </w:tcPr>
          <w:p w14:paraId="1455CBB6">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17" w:type="dxa"/>
            <w:shd w:val="clear" w:color="auto" w:fill="auto"/>
            <w:noWrap w:val="0"/>
            <w:vAlign w:val="center"/>
          </w:tcPr>
          <w:p w14:paraId="6B61429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食品微生物基础</w:t>
            </w:r>
          </w:p>
        </w:tc>
        <w:tc>
          <w:tcPr>
            <w:tcW w:w="690" w:type="dxa"/>
            <w:shd w:val="clear" w:color="auto" w:fill="auto"/>
            <w:noWrap w:val="0"/>
            <w:vAlign w:val="center"/>
          </w:tcPr>
          <w:p w14:paraId="019A112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w:t>
            </w:r>
          </w:p>
        </w:tc>
        <w:tc>
          <w:tcPr>
            <w:tcW w:w="660" w:type="dxa"/>
            <w:shd w:val="clear" w:color="auto" w:fill="auto"/>
            <w:noWrap w:val="0"/>
            <w:vAlign w:val="center"/>
          </w:tcPr>
          <w:p w14:paraId="79FC8C7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64</w:t>
            </w:r>
          </w:p>
        </w:tc>
        <w:tc>
          <w:tcPr>
            <w:tcW w:w="1118" w:type="dxa"/>
            <w:noWrap w:val="0"/>
            <w:vAlign w:val="center"/>
          </w:tcPr>
          <w:p w14:paraId="166D77A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第二学期</w:t>
            </w:r>
          </w:p>
        </w:tc>
        <w:tc>
          <w:tcPr>
            <w:tcW w:w="4837" w:type="dxa"/>
            <w:noWrap w:val="0"/>
            <w:vAlign w:val="center"/>
          </w:tcPr>
          <w:p w14:paraId="7C5A8CF5">
            <w:pPr>
              <w:keepNext w:val="0"/>
              <w:keepLines w:val="0"/>
              <w:pageBreakBefore w:val="0"/>
              <w:widowControl w:val="0"/>
              <w:tabs>
                <w:tab w:val="left" w:pos="582"/>
              </w:tabs>
              <w:kinsoku/>
              <w:wordWrap/>
              <w:overflowPunct/>
              <w:topLinePunct w:val="0"/>
              <w:autoSpaceDE/>
              <w:autoSpaceDN/>
              <w:bidi w:val="0"/>
              <w:spacing w:line="240" w:lineRule="auto"/>
              <w:ind w:left="0" w:right="0" w:rightChars="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ab/>
            </w:r>
            <w:r>
              <w:rPr>
                <w:rFonts w:hint="eastAsia" w:asciiTheme="minorEastAsia" w:hAnsiTheme="minorEastAsia" w:eastAsiaTheme="minorEastAsia" w:cstheme="minorEastAsia"/>
                <w:sz w:val="21"/>
                <w:szCs w:val="21"/>
                <w:lang w:val="en-US" w:eastAsia="zh-CN"/>
              </w:rPr>
              <w:t>本</w:t>
            </w:r>
            <w:r>
              <w:rPr>
                <w:rFonts w:hint="eastAsia" w:asciiTheme="minorEastAsia" w:hAnsiTheme="minorEastAsia" w:eastAsiaTheme="minorEastAsia" w:cstheme="minorEastAsia"/>
                <w:sz w:val="21"/>
                <w:szCs w:val="21"/>
              </w:rPr>
              <w:t>课程主要内容</w:t>
            </w:r>
            <w:r>
              <w:rPr>
                <w:rFonts w:asciiTheme="minorEastAsia" w:hAnsiTheme="minorEastAsia" w:eastAsiaTheme="minorEastAsia" w:cstheme="minorEastAsia"/>
                <w:sz w:val="21"/>
                <w:szCs w:val="21"/>
              </w:rPr>
              <w:t>包括</w:t>
            </w:r>
            <w:r>
              <w:rPr>
                <w:rFonts w:hint="eastAsia" w:asciiTheme="minorEastAsia" w:hAnsiTheme="minorEastAsia" w:eastAsiaTheme="minorEastAsia" w:cstheme="minorEastAsia"/>
                <w:sz w:val="21"/>
                <w:szCs w:val="21"/>
              </w:rPr>
              <w:t>认识微生物；微生物的培养和观察；原核微生物的形态、结构和功能；真菌的形态、构造和功能；病毒和亚病毒；微生物的生长及生理；微生物的遗传变异和菌种保藏技术；微生物的生态；食品腐败变质及其控制；微生物在食品制造中的应用。</w:t>
            </w:r>
          </w:p>
        </w:tc>
      </w:tr>
      <w:tr w14:paraId="6B95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continue"/>
            <w:noWrap w:val="0"/>
            <w:vAlign w:val="center"/>
          </w:tcPr>
          <w:p w14:paraId="12607D7B">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17" w:type="dxa"/>
            <w:shd w:val="clear" w:color="auto" w:fill="auto"/>
            <w:noWrap w:val="0"/>
            <w:vAlign w:val="center"/>
          </w:tcPr>
          <w:p w14:paraId="391F97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食品标准与法规</w:t>
            </w:r>
          </w:p>
        </w:tc>
        <w:tc>
          <w:tcPr>
            <w:tcW w:w="690" w:type="dxa"/>
            <w:shd w:val="clear" w:color="auto" w:fill="auto"/>
            <w:noWrap w:val="0"/>
            <w:vAlign w:val="center"/>
          </w:tcPr>
          <w:p w14:paraId="00054DD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w:t>
            </w:r>
          </w:p>
        </w:tc>
        <w:tc>
          <w:tcPr>
            <w:tcW w:w="660" w:type="dxa"/>
            <w:shd w:val="clear" w:color="auto" w:fill="auto"/>
            <w:noWrap w:val="0"/>
            <w:vAlign w:val="center"/>
          </w:tcPr>
          <w:p w14:paraId="42D7819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32</w:t>
            </w:r>
          </w:p>
        </w:tc>
        <w:tc>
          <w:tcPr>
            <w:tcW w:w="1118" w:type="dxa"/>
            <w:noWrap w:val="0"/>
            <w:vAlign w:val="center"/>
          </w:tcPr>
          <w:p w14:paraId="124D17C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第一学期</w:t>
            </w:r>
          </w:p>
        </w:tc>
        <w:tc>
          <w:tcPr>
            <w:tcW w:w="4837" w:type="dxa"/>
            <w:noWrap w:val="0"/>
            <w:vAlign w:val="center"/>
          </w:tcPr>
          <w:p w14:paraId="75F650CF">
            <w:pPr>
              <w:keepNext w:val="0"/>
              <w:keepLines w:val="0"/>
              <w:pageBreakBefore w:val="0"/>
              <w:widowControl w:val="0"/>
              <w:kinsoku/>
              <w:wordWrap/>
              <w:overflowPunct/>
              <w:topLinePunct w:val="0"/>
              <w:autoSpaceDE/>
              <w:autoSpaceDN/>
              <w:bidi w:val="0"/>
              <w:spacing w:line="240" w:lineRule="auto"/>
              <w:ind w:left="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lang w:val="en-US" w:eastAsia="zh-CN"/>
              </w:rPr>
              <w:t>本</w:t>
            </w:r>
            <w:r>
              <w:rPr>
                <w:rFonts w:hint="eastAsia" w:asciiTheme="minorEastAsia" w:hAnsiTheme="minorEastAsia" w:eastAsiaTheme="minorEastAsia" w:cstheme="minorEastAsia"/>
                <w:sz w:val="21"/>
                <w:szCs w:val="21"/>
              </w:rPr>
              <w:t>课程主要内容</w:t>
            </w:r>
            <w:r>
              <w:rPr>
                <w:rFonts w:asciiTheme="minorEastAsia" w:hAnsiTheme="minorEastAsia" w:eastAsiaTheme="minorEastAsia" w:cstheme="minorEastAsia"/>
                <w:sz w:val="21"/>
                <w:szCs w:val="21"/>
              </w:rPr>
              <w:t>包括</w:t>
            </w:r>
            <w:r>
              <w:rPr>
                <w:rFonts w:hint="eastAsia" w:asciiTheme="minorEastAsia" w:hAnsiTheme="minorEastAsia" w:eastAsiaTheme="minorEastAsia" w:cstheme="minorEastAsia"/>
                <w:sz w:val="21"/>
                <w:szCs w:val="21"/>
              </w:rPr>
              <w:t>食品安全法律法规的基本知识和运用；视频质量安全市场准入申请、ISO9000质量管理体系、HACCP、GMP等执行能力。</w:t>
            </w:r>
          </w:p>
        </w:tc>
      </w:tr>
      <w:tr w14:paraId="7EA9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continue"/>
            <w:noWrap w:val="0"/>
            <w:vAlign w:val="center"/>
          </w:tcPr>
          <w:p w14:paraId="11A60161">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17" w:type="dxa"/>
            <w:shd w:val="clear" w:color="auto" w:fill="auto"/>
            <w:noWrap w:val="0"/>
            <w:vAlign w:val="center"/>
          </w:tcPr>
          <w:p w14:paraId="54017AF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食品加工技术概论</w:t>
            </w:r>
          </w:p>
        </w:tc>
        <w:tc>
          <w:tcPr>
            <w:tcW w:w="690" w:type="dxa"/>
            <w:shd w:val="clear" w:color="auto" w:fill="auto"/>
            <w:noWrap w:val="0"/>
            <w:vAlign w:val="center"/>
          </w:tcPr>
          <w:p w14:paraId="2AAC53F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w:t>
            </w:r>
          </w:p>
        </w:tc>
        <w:tc>
          <w:tcPr>
            <w:tcW w:w="660" w:type="dxa"/>
            <w:shd w:val="clear" w:color="auto" w:fill="auto"/>
            <w:noWrap w:val="0"/>
            <w:vAlign w:val="center"/>
          </w:tcPr>
          <w:p w14:paraId="4D78182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32</w:t>
            </w:r>
          </w:p>
        </w:tc>
        <w:tc>
          <w:tcPr>
            <w:tcW w:w="1118" w:type="dxa"/>
            <w:noWrap w:val="0"/>
            <w:vAlign w:val="center"/>
          </w:tcPr>
          <w:p w14:paraId="47D7093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第三学期</w:t>
            </w:r>
          </w:p>
        </w:tc>
        <w:tc>
          <w:tcPr>
            <w:tcW w:w="4837" w:type="dxa"/>
            <w:noWrap w:val="0"/>
            <w:vAlign w:val="center"/>
          </w:tcPr>
          <w:p w14:paraId="4D59A4F7">
            <w:pPr>
              <w:keepNext w:val="0"/>
              <w:keepLines w:val="0"/>
              <w:pageBreakBefore w:val="0"/>
              <w:widowControl w:val="0"/>
              <w:kinsoku/>
              <w:wordWrap/>
              <w:overflowPunct/>
              <w:topLinePunct w:val="0"/>
              <w:autoSpaceDE/>
              <w:autoSpaceDN/>
              <w:bidi w:val="0"/>
              <w:spacing w:line="240" w:lineRule="auto"/>
              <w:ind w:left="0" w:right="0" w:right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lang w:val="en-US" w:eastAsia="zh-CN"/>
              </w:rPr>
              <w:t>本</w:t>
            </w:r>
            <w:r>
              <w:rPr>
                <w:rFonts w:hint="eastAsia" w:asciiTheme="minorEastAsia" w:hAnsiTheme="minorEastAsia" w:eastAsiaTheme="minorEastAsia" w:cstheme="minorEastAsia"/>
                <w:sz w:val="21"/>
                <w:szCs w:val="21"/>
              </w:rPr>
              <w:t>课程主要内容</w:t>
            </w:r>
            <w:r>
              <w:rPr>
                <w:rFonts w:asciiTheme="minorEastAsia" w:hAnsiTheme="minorEastAsia" w:eastAsiaTheme="minorEastAsia" w:cstheme="minorEastAsia"/>
                <w:sz w:val="21"/>
                <w:szCs w:val="21"/>
              </w:rPr>
              <w:t>包括</w:t>
            </w:r>
            <w:r>
              <w:rPr>
                <w:rFonts w:hint="eastAsia" w:asciiTheme="minorEastAsia" w:hAnsiTheme="minorEastAsia" w:eastAsiaTheme="minorEastAsia" w:cstheme="minorEastAsia"/>
                <w:sz w:val="21"/>
                <w:szCs w:val="21"/>
              </w:rPr>
              <w:t>功能性食品的理论基础、功能性食品的开发、功能性食品的加工技术和评价</w:t>
            </w:r>
            <w:r>
              <w:rPr>
                <w:rFonts w:asciiTheme="minorEastAsia" w:hAnsiTheme="minorEastAsia" w:eastAsiaTheme="minorEastAsia" w:cstheme="minorEastAsia"/>
                <w:sz w:val="21"/>
                <w:szCs w:val="21"/>
              </w:rPr>
              <w:t>。</w:t>
            </w:r>
          </w:p>
        </w:tc>
      </w:tr>
      <w:tr w14:paraId="28A1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continue"/>
            <w:noWrap w:val="0"/>
            <w:vAlign w:val="center"/>
          </w:tcPr>
          <w:p w14:paraId="0ABEE971">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17" w:type="dxa"/>
            <w:shd w:val="clear" w:color="auto" w:fill="auto"/>
            <w:noWrap w:val="0"/>
            <w:vAlign w:val="center"/>
          </w:tcPr>
          <w:p w14:paraId="3A59A8E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分析化学</w:t>
            </w:r>
          </w:p>
        </w:tc>
        <w:tc>
          <w:tcPr>
            <w:tcW w:w="690" w:type="dxa"/>
            <w:shd w:val="clear" w:color="auto" w:fill="auto"/>
            <w:noWrap w:val="0"/>
            <w:vAlign w:val="center"/>
          </w:tcPr>
          <w:p w14:paraId="4CEE4A6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w:t>
            </w:r>
          </w:p>
        </w:tc>
        <w:tc>
          <w:tcPr>
            <w:tcW w:w="660" w:type="dxa"/>
            <w:shd w:val="clear" w:color="auto" w:fill="auto"/>
            <w:noWrap w:val="0"/>
            <w:vAlign w:val="center"/>
          </w:tcPr>
          <w:p w14:paraId="196E21B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48</w:t>
            </w:r>
          </w:p>
        </w:tc>
        <w:tc>
          <w:tcPr>
            <w:tcW w:w="1118" w:type="dxa"/>
            <w:noWrap w:val="0"/>
            <w:vAlign w:val="center"/>
          </w:tcPr>
          <w:p w14:paraId="23CB760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第一学期</w:t>
            </w:r>
          </w:p>
        </w:tc>
        <w:tc>
          <w:tcPr>
            <w:tcW w:w="4837" w:type="dxa"/>
            <w:noWrap w:val="0"/>
            <w:vAlign w:val="center"/>
          </w:tcPr>
          <w:p w14:paraId="4B74BE0E">
            <w:pPr>
              <w:keepNext w:val="0"/>
              <w:keepLines w:val="0"/>
              <w:pageBreakBefore w:val="0"/>
              <w:widowControl w:val="0"/>
              <w:kinsoku/>
              <w:wordWrap/>
              <w:overflowPunct/>
              <w:topLinePunct w:val="0"/>
              <w:autoSpaceDE/>
              <w:autoSpaceDN/>
              <w:bidi w:val="0"/>
              <w:spacing w:line="240" w:lineRule="auto"/>
              <w:ind w:left="0" w:right="0" w:rightChars="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掌握物质的定性、定量分析方法及原理，培养实验操作和数据处理能力。</w:t>
            </w:r>
          </w:p>
        </w:tc>
      </w:tr>
      <w:tr w14:paraId="08B2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54" w:type="dxa"/>
            <w:vMerge w:val="continue"/>
            <w:noWrap w:val="0"/>
            <w:vAlign w:val="center"/>
          </w:tcPr>
          <w:p w14:paraId="5EFBEB32">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17" w:type="dxa"/>
            <w:shd w:val="clear" w:color="auto" w:fill="auto"/>
            <w:noWrap w:val="0"/>
            <w:vAlign w:val="center"/>
          </w:tcPr>
          <w:p w14:paraId="5083778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食品安全与卫生</w:t>
            </w:r>
          </w:p>
        </w:tc>
        <w:tc>
          <w:tcPr>
            <w:tcW w:w="690" w:type="dxa"/>
            <w:shd w:val="clear" w:color="auto" w:fill="auto"/>
            <w:noWrap w:val="0"/>
            <w:vAlign w:val="center"/>
          </w:tcPr>
          <w:p w14:paraId="18ED966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w:t>
            </w:r>
          </w:p>
        </w:tc>
        <w:tc>
          <w:tcPr>
            <w:tcW w:w="660" w:type="dxa"/>
            <w:shd w:val="clear" w:color="auto" w:fill="auto"/>
            <w:noWrap w:val="0"/>
            <w:vAlign w:val="center"/>
          </w:tcPr>
          <w:p w14:paraId="35B0E5B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32</w:t>
            </w:r>
          </w:p>
        </w:tc>
        <w:tc>
          <w:tcPr>
            <w:tcW w:w="1118" w:type="dxa"/>
            <w:noWrap w:val="0"/>
            <w:vAlign w:val="center"/>
          </w:tcPr>
          <w:p w14:paraId="4AA01C6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第二学期</w:t>
            </w:r>
          </w:p>
        </w:tc>
        <w:tc>
          <w:tcPr>
            <w:tcW w:w="4837" w:type="dxa"/>
            <w:noWrap w:val="0"/>
            <w:vAlign w:val="center"/>
          </w:tcPr>
          <w:p w14:paraId="33E28341">
            <w:pPr>
              <w:keepNext w:val="0"/>
              <w:keepLines w:val="0"/>
              <w:pageBreakBefore w:val="0"/>
              <w:widowControl w:val="0"/>
              <w:kinsoku/>
              <w:wordWrap/>
              <w:overflowPunct/>
              <w:topLinePunct w:val="0"/>
              <w:autoSpaceDE/>
              <w:autoSpaceDN/>
              <w:bidi w:val="0"/>
              <w:spacing w:line="240" w:lineRule="auto"/>
              <w:ind w:left="0" w:right="0" w:rightChars="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识别食品中的危害因素，掌握安全控制技术与法规标准，保障食品从 “农田到餐桌” 的安全性。</w:t>
            </w:r>
          </w:p>
        </w:tc>
      </w:tr>
      <w:tr w14:paraId="3B00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continue"/>
            <w:noWrap w:val="0"/>
            <w:vAlign w:val="center"/>
          </w:tcPr>
          <w:p w14:paraId="57642CCF">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17" w:type="dxa"/>
            <w:shd w:val="clear" w:color="auto" w:fill="auto"/>
            <w:noWrap w:val="0"/>
            <w:vAlign w:val="center"/>
          </w:tcPr>
          <w:p w14:paraId="4F17447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食品营养学</w:t>
            </w:r>
          </w:p>
        </w:tc>
        <w:tc>
          <w:tcPr>
            <w:tcW w:w="690" w:type="dxa"/>
            <w:shd w:val="clear" w:color="auto" w:fill="auto"/>
            <w:noWrap w:val="0"/>
            <w:vAlign w:val="center"/>
          </w:tcPr>
          <w:p w14:paraId="5473722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w:t>
            </w:r>
          </w:p>
        </w:tc>
        <w:tc>
          <w:tcPr>
            <w:tcW w:w="660" w:type="dxa"/>
            <w:shd w:val="clear" w:color="auto" w:fill="auto"/>
            <w:noWrap w:val="0"/>
            <w:vAlign w:val="center"/>
          </w:tcPr>
          <w:p w14:paraId="021C867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32</w:t>
            </w:r>
          </w:p>
        </w:tc>
        <w:tc>
          <w:tcPr>
            <w:tcW w:w="1118" w:type="dxa"/>
            <w:noWrap w:val="0"/>
            <w:vAlign w:val="center"/>
          </w:tcPr>
          <w:p w14:paraId="0D26FAD6">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第四学期</w:t>
            </w:r>
          </w:p>
        </w:tc>
        <w:tc>
          <w:tcPr>
            <w:tcW w:w="4837" w:type="dxa"/>
            <w:noWrap w:val="0"/>
            <w:vAlign w:val="center"/>
          </w:tcPr>
          <w:p w14:paraId="0E1E1F37">
            <w:pPr>
              <w:keepNext w:val="0"/>
              <w:keepLines w:val="0"/>
              <w:pageBreakBefore w:val="0"/>
              <w:widowControl w:val="0"/>
              <w:kinsoku/>
              <w:wordWrap/>
              <w:overflowPunct/>
              <w:topLinePunct w:val="0"/>
              <w:autoSpaceDE/>
              <w:autoSpaceDN/>
              <w:bidi w:val="0"/>
              <w:spacing w:line="240" w:lineRule="auto"/>
              <w:ind w:left="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lang w:val="en-US" w:eastAsia="zh-CN"/>
              </w:rPr>
              <w:t>本</w:t>
            </w:r>
            <w:r>
              <w:rPr>
                <w:rFonts w:hint="eastAsia" w:asciiTheme="minorEastAsia" w:hAnsiTheme="minorEastAsia" w:eastAsiaTheme="minorEastAsia" w:cstheme="minorEastAsia"/>
                <w:sz w:val="21"/>
                <w:szCs w:val="21"/>
              </w:rPr>
              <w:t>课程主要内容</w:t>
            </w:r>
            <w:r>
              <w:rPr>
                <w:rFonts w:asciiTheme="minorEastAsia" w:hAnsiTheme="minorEastAsia" w:eastAsiaTheme="minorEastAsia" w:cstheme="minorEastAsia"/>
                <w:sz w:val="21"/>
                <w:szCs w:val="21"/>
              </w:rPr>
              <w:t>包括个体食谱编制、群体食谱编制、四季营养配餐设计、健康人群营养配餐设计、特殊人群营养配餐设计和营养咨询与教育相关知识和技能；能遵循经济性、科学性、合理性等原则，对不同个人和人群进行科学合理的营养膳食配餐，并能能够应用营养学原理和知识进行膳食指导和评估。</w:t>
            </w:r>
          </w:p>
        </w:tc>
      </w:tr>
      <w:tr w14:paraId="42F2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654" w:type="dxa"/>
            <w:vMerge w:val="restart"/>
            <w:noWrap w:val="0"/>
            <w:vAlign w:val="center"/>
          </w:tcPr>
          <w:p w14:paraId="3F1F727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专业核心课程</w:t>
            </w:r>
          </w:p>
        </w:tc>
        <w:tc>
          <w:tcPr>
            <w:tcW w:w="1117" w:type="dxa"/>
            <w:shd w:val="clear" w:color="auto" w:fill="auto"/>
            <w:noWrap w:val="0"/>
            <w:vAlign w:val="center"/>
          </w:tcPr>
          <w:p w14:paraId="25BC95E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食品感官分析技术</w:t>
            </w:r>
          </w:p>
        </w:tc>
        <w:tc>
          <w:tcPr>
            <w:tcW w:w="690" w:type="dxa"/>
            <w:shd w:val="clear" w:color="auto" w:fill="auto"/>
            <w:noWrap w:val="0"/>
            <w:vAlign w:val="center"/>
          </w:tcPr>
          <w:p w14:paraId="1025961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w:t>
            </w:r>
          </w:p>
        </w:tc>
        <w:tc>
          <w:tcPr>
            <w:tcW w:w="660" w:type="dxa"/>
            <w:shd w:val="clear" w:color="auto" w:fill="auto"/>
            <w:noWrap w:val="0"/>
            <w:vAlign w:val="center"/>
          </w:tcPr>
          <w:p w14:paraId="5A672E0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64</w:t>
            </w:r>
          </w:p>
        </w:tc>
        <w:tc>
          <w:tcPr>
            <w:tcW w:w="1118" w:type="dxa"/>
            <w:noWrap w:val="0"/>
            <w:vAlign w:val="center"/>
          </w:tcPr>
          <w:p w14:paraId="5E9E638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第三学期</w:t>
            </w:r>
          </w:p>
        </w:tc>
        <w:tc>
          <w:tcPr>
            <w:tcW w:w="4837" w:type="dxa"/>
            <w:noWrap w:val="0"/>
            <w:vAlign w:val="center"/>
          </w:tcPr>
          <w:p w14:paraId="2DF7A9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①食品感官分析的基本条件</w:t>
            </w:r>
            <w:r>
              <w:rPr>
                <w:rFonts w:hint="eastAsia" w:cs="Times New Roman"/>
                <w:kern w:val="2"/>
                <w:sz w:val="21"/>
                <w:szCs w:val="24"/>
                <w:lang w:val="en-US" w:eastAsia="zh-CN" w:bidi="ar-SA"/>
              </w:rPr>
              <w:t>。</w:t>
            </w:r>
          </w:p>
          <w:p w14:paraId="595D0B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②食品感官分析方法。</w:t>
            </w:r>
          </w:p>
          <w:p w14:paraId="1297C6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③常见食品的感官分析。</w:t>
            </w:r>
          </w:p>
          <w:p w14:paraId="19C3C9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kern w:val="2"/>
                <w:sz w:val="21"/>
                <w:szCs w:val="24"/>
                <w:lang w:val="en-US" w:eastAsia="zh-CN" w:bidi="ar-SA"/>
              </w:rPr>
              <w:t>④现代仪器分析在食品感官评定中的应用。</w:t>
            </w:r>
          </w:p>
        </w:tc>
      </w:tr>
      <w:tr w14:paraId="6A29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continue"/>
            <w:noWrap w:val="0"/>
            <w:vAlign w:val="center"/>
          </w:tcPr>
          <w:p w14:paraId="3D5F9A45">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17" w:type="dxa"/>
            <w:shd w:val="clear" w:color="auto" w:fill="auto"/>
            <w:noWrap w:val="0"/>
            <w:vAlign w:val="center"/>
          </w:tcPr>
          <w:p w14:paraId="3CDEA12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食品微生物检验技术</w:t>
            </w:r>
          </w:p>
        </w:tc>
        <w:tc>
          <w:tcPr>
            <w:tcW w:w="690" w:type="dxa"/>
            <w:shd w:val="clear" w:color="auto" w:fill="auto"/>
            <w:noWrap w:val="0"/>
            <w:vAlign w:val="center"/>
          </w:tcPr>
          <w:p w14:paraId="114DBB2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5</w:t>
            </w:r>
          </w:p>
        </w:tc>
        <w:tc>
          <w:tcPr>
            <w:tcW w:w="660" w:type="dxa"/>
            <w:shd w:val="clear" w:color="auto" w:fill="auto"/>
            <w:noWrap w:val="0"/>
            <w:vAlign w:val="center"/>
          </w:tcPr>
          <w:p w14:paraId="724F7BA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80</w:t>
            </w:r>
          </w:p>
        </w:tc>
        <w:tc>
          <w:tcPr>
            <w:tcW w:w="1118" w:type="dxa"/>
            <w:noWrap w:val="0"/>
            <w:vAlign w:val="center"/>
          </w:tcPr>
          <w:p w14:paraId="5DEFA0A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第三学期</w:t>
            </w:r>
          </w:p>
        </w:tc>
        <w:tc>
          <w:tcPr>
            <w:tcW w:w="4837" w:type="dxa"/>
            <w:noWrap w:val="0"/>
            <w:vAlign w:val="center"/>
          </w:tcPr>
          <w:p w14:paraId="2FD2CD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①食品微生物检验工作认知。 </w:t>
            </w:r>
          </w:p>
          <w:p w14:paraId="074D4CD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②食品微生物检验样品的采集与制备。 </w:t>
            </w:r>
          </w:p>
          <w:p w14:paraId="0CBD279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③食品常规卫生指示菌（菌落总数、大肠菌群、霉菌和酵母菌等）检验。 </w:t>
            </w:r>
          </w:p>
          <w:p w14:paraId="2F3C8FF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④食品常见致病菌（金黄色葡萄球菌、沙门菌等）检验。 </w:t>
            </w:r>
          </w:p>
          <w:p w14:paraId="4C9FDC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⑤食品常见益生菌（乳酸菌等）检验。 </w:t>
            </w:r>
          </w:p>
          <w:p w14:paraId="667BB894">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kern w:val="2"/>
                <w:sz w:val="21"/>
                <w:szCs w:val="24"/>
                <w:lang w:val="en-US" w:eastAsia="zh-CN" w:bidi="ar-SA"/>
              </w:rPr>
              <w:t>⑥其他微生物指标检验等。</w:t>
            </w:r>
          </w:p>
        </w:tc>
      </w:tr>
      <w:tr w14:paraId="0A19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continue"/>
            <w:noWrap w:val="0"/>
            <w:vAlign w:val="center"/>
          </w:tcPr>
          <w:p w14:paraId="67B83C4B">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17" w:type="dxa"/>
            <w:shd w:val="clear" w:color="auto" w:fill="auto"/>
            <w:noWrap w:val="0"/>
            <w:vAlign w:val="center"/>
          </w:tcPr>
          <w:p w14:paraId="5BFA98B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食品理化检验技术</w:t>
            </w:r>
          </w:p>
        </w:tc>
        <w:tc>
          <w:tcPr>
            <w:tcW w:w="690" w:type="dxa"/>
            <w:shd w:val="clear" w:color="auto" w:fill="auto"/>
            <w:noWrap w:val="0"/>
            <w:vAlign w:val="center"/>
          </w:tcPr>
          <w:p w14:paraId="460D2FD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6</w:t>
            </w:r>
          </w:p>
        </w:tc>
        <w:tc>
          <w:tcPr>
            <w:tcW w:w="660" w:type="dxa"/>
            <w:shd w:val="clear" w:color="auto" w:fill="auto"/>
            <w:noWrap w:val="0"/>
            <w:vAlign w:val="center"/>
          </w:tcPr>
          <w:p w14:paraId="06367AC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96</w:t>
            </w:r>
          </w:p>
        </w:tc>
        <w:tc>
          <w:tcPr>
            <w:tcW w:w="1118" w:type="dxa"/>
            <w:noWrap w:val="0"/>
            <w:vAlign w:val="center"/>
          </w:tcPr>
          <w:p w14:paraId="4215FC8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第四学期</w:t>
            </w:r>
          </w:p>
        </w:tc>
        <w:tc>
          <w:tcPr>
            <w:tcW w:w="4837" w:type="dxa"/>
            <w:noWrap w:val="0"/>
            <w:vAlign w:val="center"/>
          </w:tcPr>
          <w:p w14:paraId="05998BD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①食品理化检验工作认知。 </w:t>
            </w:r>
          </w:p>
          <w:p w14:paraId="1EB595A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②食品理化检验样品的采集与制备。 </w:t>
            </w:r>
          </w:p>
          <w:p w14:paraId="391E7CF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③食品常规理化指标（相对密度、酸价、灰分等）的检测。 </w:t>
            </w:r>
          </w:p>
          <w:p w14:paraId="337C9532">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kern w:val="2"/>
                <w:sz w:val="21"/>
                <w:szCs w:val="24"/>
                <w:lang w:val="en-US" w:eastAsia="zh-CN" w:bidi="ar-SA"/>
              </w:rPr>
              <w:t>④食品营养成分（蛋白质、脂肪、碳水化合物、水分等）的检测。</w:t>
            </w:r>
          </w:p>
        </w:tc>
      </w:tr>
      <w:tr w14:paraId="016E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continue"/>
            <w:noWrap w:val="0"/>
            <w:vAlign w:val="center"/>
          </w:tcPr>
          <w:p w14:paraId="7EC91A6C">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17" w:type="dxa"/>
            <w:shd w:val="clear" w:color="auto" w:fill="auto"/>
            <w:noWrap w:val="0"/>
            <w:vAlign w:val="center"/>
          </w:tcPr>
          <w:p w14:paraId="3CB9895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食品仪器分析技术</w:t>
            </w:r>
          </w:p>
        </w:tc>
        <w:tc>
          <w:tcPr>
            <w:tcW w:w="690" w:type="dxa"/>
            <w:shd w:val="clear" w:color="auto" w:fill="auto"/>
            <w:noWrap w:val="0"/>
            <w:vAlign w:val="center"/>
          </w:tcPr>
          <w:p w14:paraId="3818F75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w:t>
            </w:r>
          </w:p>
        </w:tc>
        <w:tc>
          <w:tcPr>
            <w:tcW w:w="660" w:type="dxa"/>
            <w:shd w:val="clear" w:color="auto" w:fill="auto"/>
            <w:noWrap w:val="0"/>
            <w:vAlign w:val="center"/>
          </w:tcPr>
          <w:p w14:paraId="2AC68D5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48</w:t>
            </w:r>
          </w:p>
        </w:tc>
        <w:tc>
          <w:tcPr>
            <w:tcW w:w="1118" w:type="dxa"/>
            <w:noWrap w:val="0"/>
            <w:vAlign w:val="center"/>
          </w:tcPr>
          <w:p w14:paraId="65CCF2C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第四学期</w:t>
            </w:r>
          </w:p>
        </w:tc>
        <w:tc>
          <w:tcPr>
            <w:tcW w:w="4837" w:type="dxa"/>
            <w:noWrap w:val="0"/>
            <w:vAlign w:val="center"/>
          </w:tcPr>
          <w:p w14:paraId="0E7048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①食用农产品中重金属元素检测。 </w:t>
            </w:r>
          </w:p>
          <w:p w14:paraId="4BDE1D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②食品中添加剂检测。 </w:t>
            </w:r>
          </w:p>
          <w:p w14:paraId="197052E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③食用农产品中农残和兽残检测。 </w:t>
            </w:r>
          </w:p>
          <w:p w14:paraId="083401A1">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kern w:val="2"/>
                <w:sz w:val="21"/>
                <w:szCs w:val="24"/>
                <w:lang w:val="en-US" w:eastAsia="zh-CN" w:bidi="ar-SA"/>
              </w:rPr>
              <w:t>④食品中非法添加物检测。</w:t>
            </w:r>
          </w:p>
        </w:tc>
      </w:tr>
      <w:tr w14:paraId="418A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continue"/>
            <w:noWrap w:val="0"/>
            <w:vAlign w:val="center"/>
          </w:tcPr>
          <w:p w14:paraId="7982F0E0">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17" w:type="dxa"/>
            <w:shd w:val="clear" w:color="auto" w:fill="auto"/>
            <w:noWrap w:val="0"/>
            <w:vAlign w:val="center"/>
          </w:tcPr>
          <w:p w14:paraId="07D4410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食品快速检测技术</w:t>
            </w:r>
          </w:p>
        </w:tc>
        <w:tc>
          <w:tcPr>
            <w:tcW w:w="690" w:type="dxa"/>
            <w:shd w:val="clear" w:color="auto" w:fill="auto"/>
            <w:noWrap w:val="0"/>
            <w:vAlign w:val="center"/>
          </w:tcPr>
          <w:p w14:paraId="1A3DA29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w:t>
            </w:r>
          </w:p>
        </w:tc>
        <w:tc>
          <w:tcPr>
            <w:tcW w:w="660" w:type="dxa"/>
            <w:shd w:val="clear" w:color="auto" w:fill="auto"/>
            <w:noWrap w:val="0"/>
            <w:vAlign w:val="center"/>
          </w:tcPr>
          <w:p w14:paraId="5C871B5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48</w:t>
            </w:r>
          </w:p>
        </w:tc>
        <w:tc>
          <w:tcPr>
            <w:tcW w:w="1118" w:type="dxa"/>
            <w:noWrap w:val="0"/>
            <w:vAlign w:val="center"/>
          </w:tcPr>
          <w:p w14:paraId="0668B0B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第三学期</w:t>
            </w:r>
          </w:p>
        </w:tc>
        <w:tc>
          <w:tcPr>
            <w:tcW w:w="4837" w:type="dxa"/>
            <w:noWrap w:val="0"/>
            <w:vAlign w:val="center"/>
          </w:tcPr>
          <w:p w14:paraId="26BAFC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①食用农产品中常见农药残留快速检测。 </w:t>
            </w:r>
          </w:p>
          <w:p w14:paraId="414480A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②食用农产品中兽药残留快速检测。 </w:t>
            </w:r>
          </w:p>
          <w:p w14:paraId="723381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③食品中添加剂快速检测。 </w:t>
            </w:r>
          </w:p>
          <w:p w14:paraId="4E886B59">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kern w:val="2"/>
                <w:sz w:val="21"/>
                <w:szCs w:val="24"/>
                <w:lang w:val="en-US" w:eastAsia="zh-CN" w:bidi="ar-SA"/>
              </w:rPr>
              <w:t>④食品中违禁添加物快速检测，食品中微生物快速检测等。</w:t>
            </w:r>
          </w:p>
        </w:tc>
      </w:tr>
      <w:tr w14:paraId="2863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continue"/>
            <w:noWrap w:val="0"/>
            <w:vAlign w:val="center"/>
          </w:tcPr>
          <w:p w14:paraId="311D4066">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17" w:type="dxa"/>
            <w:shd w:val="clear" w:color="auto" w:fill="auto"/>
            <w:noWrap w:val="0"/>
            <w:vAlign w:val="center"/>
          </w:tcPr>
          <w:p w14:paraId="1D40F75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检测实验室管理与运行</w:t>
            </w:r>
          </w:p>
        </w:tc>
        <w:tc>
          <w:tcPr>
            <w:tcW w:w="690" w:type="dxa"/>
            <w:shd w:val="clear" w:color="auto" w:fill="auto"/>
            <w:noWrap w:val="0"/>
            <w:vAlign w:val="center"/>
          </w:tcPr>
          <w:p w14:paraId="63E91DB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w:t>
            </w:r>
          </w:p>
        </w:tc>
        <w:tc>
          <w:tcPr>
            <w:tcW w:w="660" w:type="dxa"/>
            <w:shd w:val="clear" w:color="auto" w:fill="auto"/>
            <w:noWrap w:val="0"/>
            <w:vAlign w:val="center"/>
          </w:tcPr>
          <w:p w14:paraId="5DA5AD6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32</w:t>
            </w:r>
          </w:p>
        </w:tc>
        <w:tc>
          <w:tcPr>
            <w:tcW w:w="1118" w:type="dxa"/>
            <w:noWrap w:val="0"/>
            <w:vAlign w:val="center"/>
          </w:tcPr>
          <w:p w14:paraId="6C1793D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第四学期</w:t>
            </w:r>
          </w:p>
        </w:tc>
        <w:tc>
          <w:tcPr>
            <w:tcW w:w="4837" w:type="dxa"/>
            <w:noWrap w:val="0"/>
            <w:vAlign w:val="center"/>
          </w:tcPr>
          <w:p w14:paraId="67F448D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①检测和校准实验室能力的通用要求。 </w:t>
            </w:r>
          </w:p>
          <w:p w14:paraId="23663B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②实验室 </w:t>
            </w:r>
            <w:r>
              <w:rPr>
                <w:rFonts w:hint="default" w:ascii="Times New Roman" w:hAnsi="Times New Roman" w:eastAsia="宋体" w:cs="Times New Roman"/>
                <w:kern w:val="2"/>
                <w:sz w:val="21"/>
                <w:szCs w:val="24"/>
                <w:lang w:val="en-US" w:eastAsia="zh-CN" w:bidi="ar-SA"/>
              </w:rPr>
              <w:t xml:space="preserve">CMA/CNAS </w:t>
            </w:r>
            <w:r>
              <w:rPr>
                <w:rFonts w:hint="eastAsia" w:ascii="Times New Roman" w:hAnsi="Times New Roman" w:eastAsia="宋体" w:cs="Times New Roman"/>
                <w:kern w:val="2"/>
                <w:sz w:val="21"/>
                <w:szCs w:val="24"/>
                <w:lang w:val="en-US" w:eastAsia="zh-CN" w:bidi="ar-SA"/>
              </w:rPr>
              <w:t xml:space="preserve">质量体系文件编制。 </w:t>
            </w:r>
          </w:p>
          <w:p w14:paraId="52DF44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③实验室信息化管理软件操作。</w:t>
            </w:r>
          </w:p>
        </w:tc>
      </w:tr>
      <w:tr w14:paraId="7C4A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continue"/>
            <w:noWrap w:val="0"/>
            <w:vAlign w:val="center"/>
          </w:tcPr>
          <w:p w14:paraId="35C73469">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17" w:type="dxa"/>
            <w:shd w:val="clear" w:color="auto" w:fill="auto"/>
            <w:noWrap w:val="0"/>
            <w:vAlign w:val="center"/>
          </w:tcPr>
          <w:p w14:paraId="105CA24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食品质量安全与控制技术</w:t>
            </w:r>
          </w:p>
        </w:tc>
        <w:tc>
          <w:tcPr>
            <w:tcW w:w="690" w:type="dxa"/>
            <w:shd w:val="clear" w:color="auto" w:fill="auto"/>
            <w:noWrap w:val="0"/>
            <w:vAlign w:val="center"/>
          </w:tcPr>
          <w:p w14:paraId="23281B5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w:t>
            </w:r>
          </w:p>
        </w:tc>
        <w:tc>
          <w:tcPr>
            <w:tcW w:w="660" w:type="dxa"/>
            <w:shd w:val="clear" w:color="auto" w:fill="auto"/>
            <w:noWrap w:val="0"/>
            <w:vAlign w:val="center"/>
          </w:tcPr>
          <w:p w14:paraId="460D4AE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32</w:t>
            </w:r>
          </w:p>
        </w:tc>
        <w:tc>
          <w:tcPr>
            <w:tcW w:w="1118" w:type="dxa"/>
            <w:noWrap w:val="0"/>
            <w:vAlign w:val="center"/>
          </w:tcPr>
          <w:p w14:paraId="1691F0F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第四学期</w:t>
            </w:r>
          </w:p>
        </w:tc>
        <w:tc>
          <w:tcPr>
            <w:tcW w:w="4837" w:type="dxa"/>
            <w:noWrap w:val="0"/>
            <w:vAlign w:val="center"/>
          </w:tcPr>
          <w:p w14:paraId="484B5A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①食品加工安全风险分析。 </w:t>
            </w:r>
          </w:p>
          <w:p w14:paraId="79A2AA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②食品质量管理体系。 </w:t>
            </w:r>
          </w:p>
          <w:p w14:paraId="00C886C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③质量管理工具。 </w:t>
            </w:r>
          </w:p>
          <w:p w14:paraId="2902BC1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④质量管理体系文件编写。 </w:t>
            </w:r>
          </w:p>
          <w:p w14:paraId="667AC8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⑤质量计划制定和实施。 </w:t>
            </w:r>
          </w:p>
          <w:p w14:paraId="40C8A29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⑥食品现场质量管理。</w:t>
            </w:r>
          </w:p>
        </w:tc>
      </w:tr>
      <w:tr w14:paraId="5705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continue"/>
            <w:noWrap w:val="0"/>
            <w:vAlign w:val="center"/>
          </w:tcPr>
          <w:p w14:paraId="3246F001">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17" w:type="dxa"/>
            <w:noWrap w:val="0"/>
            <w:vAlign w:val="center"/>
          </w:tcPr>
          <w:p w14:paraId="31AAB80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岗位实习</w:t>
            </w:r>
          </w:p>
        </w:tc>
        <w:tc>
          <w:tcPr>
            <w:tcW w:w="690" w:type="dxa"/>
            <w:noWrap w:val="0"/>
            <w:vAlign w:val="center"/>
          </w:tcPr>
          <w:p w14:paraId="4C740D5A">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20</w:t>
            </w:r>
          </w:p>
        </w:tc>
        <w:tc>
          <w:tcPr>
            <w:tcW w:w="660" w:type="dxa"/>
            <w:noWrap w:val="0"/>
            <w:vAlign w:val="center"/>
          </w:tcPr>
          <w:p w14:paraId="329E1E1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600</w:t>
            </w:r>
          </w:p>
        </w:tc>
        <w:tc>
          <w:tcPr>
            <w:tcW w:w="1118" w:type="dxa"/>
            <w:noWrap w:val="0"/>
            <w:vAlign w:val="center"/>
          </w:tcPr>
          <w:p w14:paraId="3FF9A9D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第六学期</w:t>
            </w:r>
          </w:p>
        </w:tc>
        <w:tc>
          <w:tcPr>
            <w:tcW w:w="4837" w:type="dxa"/>
            <w:shd w:val="clear" w:color="auto" w:fill="auto"/>
            <w:noWrap w:val="0"/>
            <w:vAlign w:val="center"/>
          </w:tcPr>
          <w:p w14:paraId="1899F30B">
            <w:pPr>
              <w:spacing w:line="240" w:lineRule="auto"/>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本</w:t>
            </w:r>
            <w:r>
              <w:rPr>
                <w:rFonts w:hint="eastAsia" w:asciiTheme="minorEastAsia" w:hAnsiTheme="minorEastAsia" w:eastAsiaTheme="minorEastAsia" w:cstheme="minorEastAsia"/>
                <w:sz w:val="21"/>
                <w:szCs w:val="21"/>
              </w:rPr>
              <w:t>课程主要内容</w:t>
            </w:r>
            <w:r>
              <w:rPr>
                <w:rFonts w:asciiTheme="minorEastAsia" w:hAnsiTheme="minorEastAsia" w:eastAsiaTheme="minorEastAsia" w:cstheme="minorEastAsia"/>
                <w:sz w:val="21"/>
                <w:szCs w:val="21"/>
              </w:rPr>
              <w:t>包括</w:t>
            </w:r>
            <w:r>
              <w:rPr>
                <w:rFonts w:hint="eastAsia" w:asciiTheme="minorEastAsia" w:hAnsiTheme="minorEastAsia" w:eastAsiaTheme="minorEastAsia" w:cstheme="minorEastAsia"/>
                <w:sz w:val="21"/>
                <w:szCs w:val="21"/>
              </w:rPr>
              <w:t>学生须在指导教师的指导下，在有条件的企业教学基地，专业企业教学可与科研训练结合、与毕业设计、毕业论文相结合，使学生能将学到的知识、技术应用于实际，并积累实践工作经验，为今后毕业工作奠定基础。</w:t>
            </w:r>
          </w:p>
        </w:tc>
      </w:tr>
      <w:tr w14:paraId="4D98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continue"/>
            <w:noWrap w:val="0"/>
            <w:vAlign w:val="center"/>
          </w:tcPr>
          <w:p w14:paraId="1607982E">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17" w:type="dxa"/>
            <w:noWrap w:val="0"/>
            <w:vAlign w:val="center"/>
          </w:tcPr>
          <w:p w14:paraId="6D6C812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毕业设计（论文）</w:t>
            </w:r>
          </w:p>
        </w:tc>
        <w:tc>
          <w:tcPr>
            <w:tcW w:w="690" w:type="dxa"/>
            <w:noWrap w:val="0"/>
            <w:vAlign w:val="center"/>
          </w:tcPr>
          <w:p w14:paraId="29AA616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660" w:type="dxa"/>
            <w:noWrap w:val="0"/>
            <w:vAlign w:val="center"/>
          </w:tcPr>
          <w:p w14:paraId="398AB02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w:t>
            </w:r>
          </w:p>
        </w:tc>
        <w:tc>
          <w:tcPr>
            <w:tcW w:w="1118" w:type="dxa"/>
            <w:noWrap w:val="0"/>
            <w:vAlign w:val="center"/>
          </w:tcPr>
          <w:p w14:paraId="26676E5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第六学期</w:t>
            </w:r>
          </w:p>
        </w:tc>
        <w:tc>
          <w:tcPr>
            <w:tcW w:w="4837" w:type="dxa"/>
            <w:shd w:val="clear" w:color="auto" w:fill="auto"/>
            <w:noWrap w:val="0"/>
            <w:vAlign w:val="center"/>
          </w:tcPr>
          <w:p w14:paraId="344D1B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毕业设计与答辩</w:t>
            </w:r>
          </w:p>
        </w:tc>
      </w:tr>
      <w:tr w14:paraId="63AA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restart"/>
            <w:noWrap w:val="0"/>
            <w:vAlign w:val="center"/>
          </w:tcPr>
          <w:p w14:paraId="70ED8AB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专业实践课程</w:t>
            </w:r>
          </w:p>
        </w:tc>
        <w:tc>
          <w:tcPr>
            <w:tcW w:w="1117" w:type="dxa"/>
            <w:shd w:val="clear" w:color="auto" w:fill="auto"/>
            <w:noWrap w:val="0"/>
            <w:vAlign w:val="center"/>
          </w:tcPr>
          <w:p w14:paraId="33F091B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default"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食品检验基础技能</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实训</w:t>
            </w:r>
          </w:p>
        </w:tc>
        <w:tc>
          <w:tcPr>
            <w:tcW w:w="690" w:type="dxa"/>
            <w:shd w:val="clear" w:color="auto" w:fill="auto"/>
            <w:noWrap w:val="0"/>
            <w:vAlign w:val="center"/>
          </w:tcPr>
          <w:p w14:paraId="4D2EF1C2">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6</w:t>
            </w:r>
          </w:p>
        </w:tc>
        <w:tc>
          <w:tcPr>
            <w:tcW w:w="660" w:type="dxa"/>
            <w:shd w:val="clear" w:color="auto" w:fill="auto"/>
            <w:noWrap w:val="0"/>
            <w:vAlign w:val="center"/>
          </w:tcPr>
          <w:p w14:paraId="3E9C28E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96</w:t>
            </w:r>
          </w:p>
        </w:tc>
        <w:tc>
          <w:tcPr>
            <w:tcW w:w="1118" w:type="dxa"/>
            <w:shd w:val="clear" w:color="auto" w:fill="auto"/>
            <w:noWrap w:val="0"/>
            <w:vAlign w:val="center"/>
          </w:tcPr>
          <w:p w14:paraId="5224961C">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第五学期</w:t>
            </w:r>
          </w:p>
        </w:tc>
        <w:tc>
          <w:tcPr>
            <w:tcW w:w="4837" w:type="dxa"/>
            <w:shd w:val="clear" w:color="auto" w:fill="auto"/>
            <w:noWrap w:val="0"/>
            <w:vAlign w:val="center"/>
          </w:tcPr>
          <w:p w14:paraId="381514F9">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Cs/>
                <w:kern w:val="2"/>
                <w:sz w:val="21"/>
                <w:szCs w:val="24"/>
                <w:lang w:val="en-US" w:eastAsia="zh-CN" w:bidi="ar-SA"/>
              </w:rPr>
            </w:pPr>
            <w:r>
              <w:rPr>
                <w:rFonts w:hint="eastAsia"/>
                <w:bCs/>
              </w:rPr>
              <w:t>掌握食品检验实验室的基础操作规范，熟悉常用仪器设备的原理与使用，培养严谨的实验习惯和安全意识。</w:t>
            </w:r>
          </w:p>
        </w:tc>
      </w:tr>
      <w:tr w14:paraId="0741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continue"/>
            <w:noWrap w:val="0"/>
            <w:vAlign w:val="center"/>
          </w:tcPr>
          <w:p w14:paraId="74734048">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17" w:type="dxa"/>
            <w:shd w:val="clear" w:color="auto" w:fill="auto"/>
            <w:noWrap w:val="0"/>
            <w:vAlign w:val="center"/>
          </w:tcPr>
          <w:p w14:paraId="1FAAF64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default"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食品理化与微生物检验</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实训</w:t>
            </w:r>
          </w:p>
        </w:tc>
        <w:tc>
          <w:tcPr>
            <w:tcW w:w="690" w:type="dxa"/>
            <w:shd w:val="clear" w:color="auto" w:fill="auto"/>
            <w:noWrap w:val="0"/>
            <w:vAlign w:val="center"/>
          </w:tcPr>
          <w:p w14:paraId="7B22057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6</w:t>
            </w:r>
          </w:p>
        </w:tc>
        <w:tc>
          <w:tcPr>
            <w:tcW w:w="660" w:type="dxa"/>
            <w:shd w:val="clear" w:color="auto" w:fill="auto"/>
            <w:noWrap w:val="0"/>
            <w:vAlign w:val="center"/>
          </w:tcPr>
          <w:p w14:paraId="30BFF44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96</w:t>
            </w:r>
          </w:p>
        </w:tc>
        <w:tc>
          <w:tcPr>
            <w:tcW w:w="1118" w:type="dxa"/>
            <w:shd w:val="clear" w:color="auto" w:fill="auto"/>
            <w:noWrap w:val="0"/>
            <w:vAlign w:val="center"/>
          </w:tcPr>
          <w:p w14:paraId="5B2F81F5">
            <w:pPr>
              <w:adjustRightInd w:val="0"/>
              <w:snapToGrid w:val="0"/>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第五学期</w:t>
            </w:r>
          </w:p>
        </w:tc>
        <w:tc>
          <w:tcPr>
            <w:tcW w:w="4837" w:type="dxa"/>
            <w:shd w:val="clear" w:color="auto" w:fill="auto"/>
            <w:noWrap w:val="0"/>
            <w:vAlign w:val="center"/>
          </w:tcPr>
          <w:p w14:paraId="46DEDF16">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Cs/>
                <w:kern w:val="2"/>
                <w:sz w:val="21"/>
                <w:szCs w:val="24"/>
                <w:lang w:val="en-US" w:eastAsia="zh-CN" w:bidi="ar-SA"/>
              </w:rPr>
            </w:pPr>
            <w:r>
              <w:rPr>
                <w:rFonts w:hint="default"/>
                <w:bCs/>
              </w:rPr>
              <w:t>熟练掌握食品理化指标与微生物指标的检测方法，能依据国家标准（如 GB 5009 系列、GB 4789 系列）完成检测并出具报告。</w:t>
            </w:r>
          </w:p>
        </w:tc>
      </w:tr>
      <w:tr w14:paraId="7A2A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continue"/>
            <w:noWrap w:val="0"/>
            <w:vAlign w:val="center"/>
          </w:tcPr>
          <w:p w14:paraId="2BEE14E4">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17" w:type="dxa"/>
            <w:shd w:val="clear" w:color="auto" w:fill="auto"/>
            <w:noWrap w:val="0"/>
            <w:vAlign w:val="center"/>
          </w:tcPr>
          <w:p w14:paraId="3D7B0C2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default"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食品检验综合项目</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实训</w:t>
            </w:r>
          </w:p>
        </w:tc>
        <w:tc>
          <w:tcPr>
            <w:tcW w:w="690" w:type="dxa"/>
            <w:shd w:val="clear" w:color="auto" w:fill="auto"/>
            <w:noWrap w:val="0"/>
            <w:vAlign w:val="center"/>
          </w:tcPr>
          <w:p w14:paraId="7A604BB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6</w:t>
            </w:r>
          </w:p>
        </w:tc>
        <w:tc>
          <w:tcPr>
            <w:tcW w:w="660" w:type="dxa"/>
            <w:shd w:val="clear" w:color="auto" w:fill="auto"/>
            <w:noWrap w:val="0"/>
            <w:vAlign w:val="center"/>
          </w:tcPr>
          <w:p w14:paraId="1CA15FB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96</w:t>
            </w:r>
          </w:p>
        </w:tc>
        <w:tc>
          <w:tcPr>
            <w:tcW w:w="1118" w:type="dxa"/>
            <w:shd w:val="clear" w:color="auto" w:fill="auto"/>
            <w:noWrap w:val="0"/>
            <w:vAlign w:val="center"/>
          </w:tcPr>
          <w:p w14:paraId="3CDAB06B">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第五学期</w:t>
            </w:r>
          </w:p>
        </w:tc>
        <w:tc>
          <w:tcPr>
            <w:tcW w:w="4837" w:type="dxa"/>
            <w:shd w:val="clear" w:color="auto" w:fill="auto"/>
            <w:noWrap w:val="0"/>
            <w:vAlign w:val="center"/>
          </w:tcPr>
          <w:p w14:paraId="4D6D27C8">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Cs/>
                <w:kern w:val="2"/>
                <w:sz w:val="21"/>
                <w:szCs w:val="24"/>
                <w:lang w:val="en-US" w:eastAsia="zh-CN" w:bidi="ar-SA"/>
              </w:rPr>
            </w:pPr>
            <w:r>
              <w:rPr>
                <w:rFonts w:hint="default"/>
                <w:bCs/>
              </w:rPr>
              <w:t>模拟真实工作场景，培养学生综合运用多技术解决复杂问题的能力，提升职业素养与团队协作能力。</w:t>
            </w:r>
          </w:p>
        </w:tc>
      </w:tr>
      <w:tr w14:paraId="1F5F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654" w:type="dxa"/>
            <w:vMerge w:val="restart"/>
            <w:noWrap w:val="0"/>
            <w:vAlign w:val="center"/>
          </w:tcPr>
          <w:p w14:paraId="1A327D6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专业方向（选修）课程模块1</w:t>
            </w:r>
          </w:p>
        </w:tc>
        <w:tc>
          <w:tcPr>
            <w:tcW w:w="1117" w:type="dxa"/>
            <w:shd w:val="clear" w:color="auto" w:fill="auto"/>
            <w:noWrap w:val="0"/>
            <w:vAlign w:val="center"/>
          </w:tcPr>
          <w:p w14:paraId="6F11AD4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焙烤食品工艺</w:t>
            </w:r>
          </w:p>
        </w:tc>
        <w:tc>
          <w:tcPr>
            <w:tcW w:w="690" w:type="dxa"/>
            <w:shd w:val="clear" w:color="auto" w:fill="auto"/>
            <w:noWrap w:val="0"/>
            <w:vAlign w:val="center"/>
          </w:tcPr>
          <w:p w14:paraId="6886DCCE">
            <w:pPr>
              <w:adjustRightInd w:val="0"/>
              <w:snapToGrid w:val="0"/>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w:t>
            </w:r>
          </w:p>
        </w:tc>
        <w:tc>
          <w:tcPr>
            <w:tcW w:w="660" w:type="dxa"/>
            <w:shd w:val="clear" w:color="auto" w:fill="auto"/>
            <w:noWrap w:val="0"/>
            <w:vAlign w:val="center"/>
          </w:tcPr>
          <w:p w14:paraId="6FF32BE4">
            <w:pPr>
              <w:adjustRightInd w:val="0"/>
              <w:snapToGrid w:val="0"/>
              <w:spacing w:line="360" w:lineRule="exact"/>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48</w:t>
            </w:r>
          </w:p>
        </w:tc>
        <w:tc>
          <w:tcPr>
            <w:tcW w:w="1118" w:type="dxa"/>
            <w:shd w:val="clear" w:color="auto" w:fill="auto"/>
            <w:noWrap w:val="0"/>
            <w:vAlign w:val="center"/>
          </w:tcPr>
          <w:p w14:paraId="37E90B2E">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第三学期</w:t>
            </w:r>
          </w:p>
        </w:tc>
        <w:tc>
          <w:tcPr>
            <w:tcW w:w="4837" w:type="dxa"/>
            <w:shd w:val="clear" w:color="auto" w:fill="auto"/>
            <w:noWrap w:val="0"/>
            <w:vAlign w:val="center"/>
          </w:tcPr>
          <w:p w14:paraId="325F7DE0">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bCs/>
                <w:lang w:val="en-US" w:eastAsia="zh-CN"/>
              </w:rPr>
            </w:pPr>
            <w:r>
              <w:rPr>
                <w:rFonts w:hint="default"/>
                <w:bCs/>
              </w:rPr>
              <w:t>掌握焙烤食品（如面包、蛋糕、饼干、月饼等）的原料特性、生产工艺、设备原理及品质控制。</w:t>
            </w:r>
          </w:p>
        </w:tc>
      </w:tr>
      <w:tr w14:paraId="41C9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continue"/>
            <w:noWrap w:val="0"/>
            <w:vAlign w:val="center"/>
          </w:tcPr>
          <w:p w14:paraId="6331234E">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17" w:type="dxa"/>
            <w:shd w:val="clear" w:color="auto" w:fill="auto"/>
            <w:noWrap w:val="0"/>
            <w:vAlign w:val="center"/>
          </w:tcPr>
          <w:p w14:paraId="7A71093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食品安全监督管理</w:t>
            </w:r>
          </w:p>
        </w:tc>
        <w:tc>
          <w:tcPr>
            <w:tcW w:w="690" w:type="dxa"/>
            <w:shd w:val="clear" w:color="auto" w:fill="auto"/>
            <w:noWrap w:val="0"/>
            <w:vAlign w:val="center"/>
          </w:tcPr>
          <w:p w14:paraId="6DE66AB7">
            <w:pPr>
              <w:adjustRightInd w:val="0"/>
              <w:snapToGrid w:val="0"/>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w:t>
            </w:r>
          </w:p>
        </w:tc>
        <w:tc>
          <w:tcPr>
            <w:tcW w:w="660" w:type="dxa"/>
            <w:shd w:val="clear" w:color="auto" w:fill="auto"/>
            <w:noWrap w:val="0"/>
            <w:vAlign w:val="center"/>
          </w:tcPr>
          <w:p w14:paraId="3FB26D54">
            <w:pPr>
              <w:adjustRightInd w:val="0"/>
              <w:snapToGrid w:val="0"/>
              <w:spacing w:line="360" w:lineRule="exact"/>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48</w:t>
            </w:r>
          </w:p>
        </w:tc>
        <w:tc>
          <w:tcPr>
            <w:tcW w:w="1118" w:type="dxa"/>
            <w:shd w:val="clear" w:color="auto" w:fill="auto"/>
            <w:noWrap w:val="0"/>
            <w:vAlign w:val="center"/>
          </w:tcPr>
          <w:p w14:paraId="7AC8394B">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第四学期</w:t>
            </w:r>
          </w:p>
        </w:tc>
        <w:tc>
          <w:tcPr>
            <w:tcW w:w="4837" w:type="dxa"/>
            <w:shd w:val="clear" w:color="auto" w:fill="auto"/>
            <w:noWrap w:val="0"/>
            <w:vAlign w:val="center"/>
          </w:tcPr>
          <w:p w14:paraId="731FCF8A">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bCs/>
                <w:lang w:val="en-US" w:eastAsia="zh-CN"/>
              </w:rPr>
            </w:pPr>
            <w:r>
              <w:rPr>
                <w:rFonts w:hint="default"/>
                <w:bCs/>
              </w:rPr>
              <w:t>理解食品安全监管体系、法规标准及风险防控逻辑，掌握从生产到流通的全链条监管方法。</w:t>
            </w:r>
          </w:p>
        </w:tc>
      </w:tr>
      <w:tr w14:paraId="7608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654" w:type="dxa"/>
            <w:vMerge w:val="restart"/>
            <w:noWrap w:val="0"/>
            <w:vAlign w:val="center"/>
          </w:tcPr>
          <w:p w14:paraId="6AF5DDD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专业方向（选修）课程模块2</w:t>
            </w:r>
          </w:p>
        </w:tc>
        <w:tc>
          <w:tcPr>
            <w:tcW w:w="1117" w:type="dxa"/>
            <w:shd w:val="clear" w:color="auto" w:fill="auto"/>
            <w:noWrap w:val="0"/>
            <w:vAlign w:val="center"/>
          </w:tcPr>
          <w:p w14:paraId="6301FDA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食品添加剂及应用</w:t>
            </w:r>
          </w:p>
        </w:tc>
        <w:tc>
          <w:tcPr>
            <w:tcW w:w="690" w:type="dxa"/>
            <w:shd w:val="clear" w:color="auto" w:fill="auto"/>
            <w:noWrap w:val="0"/>
            <w:vAlign w:val="center"/>
          </w:tcPr>
          <w:p w14:paraId="089E50E8">
            <w:pPr>
              <w:adjustRightInd w:val="0"/>
              <w:snapToGrid w:val="0"/>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w:t>
            </w:r>
          </w:p>
        </w:tc>
        <w:tc>
          <w:tcPr>
            <w:tcW w:w="660" w:type="dxa"/>
            <w:shd w:val="clear" w:color="auto" w:fill="auto"/>
            <w:noWrap w:val="0"/>
            <w:vAlign w:val="center"/>
          </w:tcPr>
          <w:p w14:paraId="21605C75">
            <w:pPr>
              <w:adjustRightInd w:val="0"/>
              <w:snapToGrid w:val="0"/>
              <w:spacing w:line="360" w:lineRule="exact"/>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48</w:t>
            </w:r>
          </w:p>
        </w:tc>
        <w:tc>
          <w:tcPr>
            <w:tcW w:w="1118" w:type="dxa"/>
            <w:shd w:val="clear" w:color="auto" w:fill="auto"/>
            <w:noWrap w:val="0"/>
            <w:vAlign w:val="center"/>
          </w:tcPr>
          <w:p w14:paraId="73E6F5E3">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第三学期</w:t>
            </w:r>
          </w:p>
        </w:tc>
        <w:tc>
          <w:tcPr>
            <w:tcW w:w="4837" w:type="dxa"/>
            <w:shd w:val="clear" w:color="auto" w:fill="auto"/>
            <w:noWrap w:val="0"/>
            <w:vAlign w:val="center"/>
          </w:tcPr>
          <w:p w14:paraId="599A3D36">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bCs/>
                <w:lang w:val="en-US" w:eastAsia="zh-CN"/>
              </w:rPr>
            </w:pPr>
            <w:r>
              <w:rPr>
                <w:rFonts w:hint="default"/>
                <w:bCs/>
              </w:rPr>
              <w:t>为焙烤工艺提供技术支持（如用乳化剂改善蛋糕质地），需符合《食品安全法》的使用规定。</w:t>
            </w:r>
          </w:p>
        </w:tc>
      </w:tr>
      <w:tr w14:paraId="6FAA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Merge w:val="continue"/>
            <w:noWrap w:val="0"/>
            <w:vAlign w:val="center"/>
          </w:tcPr>
          <w:p w14:paraId="10AD7793">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17" w:type="dxa"/>
            <w:shd w:val="clear" w:color="auto" w:fill="auto"/>
            <w:noWrap w:val="0"/>
            <w:vAlign w:val="center"/>
          </w:tcPr>
          <w:p w14:paraId="3A6EAAB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食品营养与健康</w:t>
            </w:r>
          </w:p>
        </w:tc>
        <w:tc>
          <w:tcPr>
            <w:tcW w:w="690" w:type="dxa"/>
            <w:shd w:val="clear" w:color="auto" w:fill="auto"/>
            <w:noWrap w:val="0"/>
            <w:vAlign w:val="center"/>
          </w:tcPr>
          <w:p w14:paraId="756AA042">
            <w:pPr>
              <w:adjustRightInd w:val="0"/>
              <w:snapToGrid w:val="0"/>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w:t>
            </w:r>
          </w:p>
        </w:tc>
        <w:tc>
          <w:tcPr>
            <w:tcW w:w="660" w:type="dxa"/>
            <w:shd w:val="clear" w:color="auto" w:fill="auto"/>
            <w:noWrap w:val="0"/>
            <w:vAlign w:val="center"/>
          </w:tcPr>
          <w:p w14:paraId="4D85FE25">
            <w:pPr>
              <w:adjustRightInd w:val="0"/>
              <w:snapToGrid w:val="0"/>
              <w:spacing w:line="360" w:lineRule="exact"/>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48</w:t>
            </w:r>
          </w:p>
        </w:tc>
        <w:tc>
          <w:tcPr>
            <w:tcW w:w="1118" w:type="dxa"/>
            <w:shd w:val="clear" w:color="auto" w:fill="auto"/>
            <w:noWrap w:val="0"/>
            <w:vAlign w:val="center"/>
          </w:tcPr>
          <w:p w14:paraId="5C99ACE2">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第四学期</w:t>
            </w:r>
          </w:p>
        </w:tc>
        <w:tc>
          <w:tcPr>
            <w:tcW w:w="4837" w:type="dxa"/>
            <w:shd w:val="clear" w:color="auto" w:fill="auto"/>
            <w:noWrap w:val="0"/>
            <w:vAlign w:val="center"/>
          </w:tcPr>
          <w:p w14:paraId="4ABE40A9">
            <w:pPr>
              <w:pStyle w:val="55"/>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bCs/>
                <w:lang w:val="en-US" w:eastAsia="zh-CN"/>
              </w:rPr>
            </w:pPr>
            <w:r>
              <w:rPr>
                <w:rFonts w:hint="default"/>
                <w:bCs/>
              </w:rPr>
              <w:t>指导焙烤食品营养强化（如添加维生素 D 的早餐面包），分析食品安全事件的营养影响（如防腐剂与肠道健康）。</w:t>
            </w:r>
          </w:p>
        </w:tc>
      </w:tr>
    </w:tbl>
    <w:p w14:paraId="76570349">
      <w:pPr>
        <w:bidi w:val="0"/>
        <w:rPr>
          <w:rFonts w:hint="eastAsia"/>
          <w:lang w:val="en-US" w:eastAsia="zh-CN"/>
        </w:rPr>
      </w:pPr>
    </w:p>
    <w:p w14:paraId="59047AE0">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eastAsia="宋体"/>
          <w:sz w:val="24"/>
          <w:szCs w:val="24"/>
          <w:lang w:val="en-US" w:eastAsia="zh-CN"/>
        </w:rPr>
      </w:pPr>
      <w:bookmarkStart w:id="54" w:name="_Toc6951"/>
      <w:r>
        <w:rPr>
          <w:rFonts w:hint="eastAsia" w:asciiTheme="minorEastAsia" w:hAnsiTheme="minorEastAsia" w:eastAsiaTheme="minorEastAsia" w:cstheme="minorEastAsia"/>
          <w:sz w:val="28"/>
          <w:szCs w:val="28"/>
          <w:lang w:val="en-US" w:eastAsia="zh-CN"/>
        </w:rPr>
        <w:t>（五）专业核心课程描述</w:t>
      </w:r>
      <w:bookmarkEnd w:id="54"/>
    </w:p>
    <w:bookmarkEnd w:id="53"/>
    <w:p w14:paraId="428EA584">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6-1</w:t>
      </w:r>
      <w:r>
        <w:rPr>
          <w:rFonts w:hint="eastAsia" w:ascii="宋体" w:hAnsi="宋体" w:cs="宋体"/>
          <w:b/>
          <w:sz w:val="21"/>
          <w:szCs w:val="21"/>
        </w:rPr>
        <w:t xml:space="preserve"> </w:t>
      </w:r>
      <w:r>
        <w:rPr>
          <w:rFonts w:hint="eastAsia" w:ascii="宋体" w:hAnsi="宋体" w:cs="宋体"/>
          <w:b/>
          <w:sz w:val="21"/>
          <w:szCs w:val="21"/>
          <w:lang w:val="en-US" w:eastAsia="zh-CN"/>
        </w:rPr>
        <w:t>食品感官分析</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35CE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76" w:type="dxa"/>
            <w:noWrap w:val="0"/>
            <w:vAlign w:val="center"/>
          </w:tcPr>
          <w:p w14:paraId="0172ACF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课程名称</w:t>
            </w:r>
          </w:p>
        </w:tc>
        <w:tc>
          <w:tcPr>
            <w:tcW w:w="2040" w:type="dxa"/>
            <w:noWrap w:val="0"/>
            <w:vAlign w:val="center"/>
          </w:tcPr>
          <w:p w14:paraId="4A19361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rPr>
            </w:pPr>
            <w:r>
              <w:rPr>
                <w:rFonts w:hint="eastAsia"/>
                <w:lang w:val="en-US" w:eastAsia="zh-CN"/>
              </w:rPr>
              <w:t>食品感官分析</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技术</w:t>
            </w:r>
          </w:p>
        </w:tc>
        <w:tc>
          <w:tcPr>
            <w:tcW w:w="1215" w:type="dxa"/>
            <w:noWrap w:val="0"/>
            <w:vAlign w:val="center"/>
          </w:tcPr>
          <w:p w14:paraId="25CCE0A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学分</w:t>
            </w:r>
          </w:p>
        </w:tc>
        <w:tc>
          <w:tcPr>
            <w:tcW w:w="960" w:type="dxa"/>
            <w:noWrap w:val="0"/>
            <w:vAlign w:val="center"/>
          </w:tcPr>
          <w:p w14:paraId="2879A4D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lang w:val="en-US" w:eastAsia="zh-CN"/>
              </w:rPr>
            </w:pPr>
            <w:r>
              <w:rPr>
                <w:rFonts w:hint="eastAsia"/>
                <w:lang w:val="en-US" w:eastAsia="zh-CN"/>
              </w:rPr>
              <w:t>4</w:t>
            </w:r>
          </w:p>
        </w:tc>
        <w:tc>
          <w:tcPr>
            <w:tcW w:w="1114" w:type="dxa"/>
            <w:noWrap w:val="0"/>
            <w:vAlign w:val="center"/>
          </w:tcPr>
          <w:p w14:paraId="143F92C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学时</w:t>
            </w:r>
          </w:p>
        </w:tc>
        <w:tc>
          <w:tcPr>
            <w:tcW w:w="1461" w:type="dxa"/>
            <w:noWrap w:val="0"/>
            <w:vAlign w:val="center"/>
          </w:tcPr>
          <w:p w14:paraId="53615D8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lang w:val="en-US" w:eastAsia="zh-CN"/>
              </w:rPr>
            </w:pPr>
            <w:r>
              <w:rPr>
                <w:rFonts w:hint="eastAsia"/>
                <w:lang w:val="en-US" w:eastAsia="zh-CN"/>
              </w:rPr>
              <w:t>64</w:t>
            </w:r>
          </w:p>
        </w:tc>
      </w:tr>
      <w:tr w14:paraId="7AE4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6F4E7988">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课程目标</w:t>
            </w:r>
          </w:p>
        </w:tc>
        <w:tc>
          <w:tcPr>
            <w:tcW w:w="6790" w:type="dxa"/>
            <w:gridSpan w:val="5"/>
            <w:noWrap w:val="0"/>
            <w:vAlign w:val="center"/>
          </w:tcPr>
          <w:p w14:paraId="6D586FE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①</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食品感官分析条件控制。 </w:t>
            </w:r>
          </w:p>
          <w:p w14:paraId="1A1E65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②</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食品感官分析样品制备。 </w:t>
            </w:r>
          </w:p>
          <w:p w14:paraId="442557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③</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食品感官差别检验。 </w:t>
            </w:r>
          </w:p>
          <w:p w14:paraId="1344A0E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④</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食品感官描述性检验。 </w:t>
            </w:r>
          </w:p>
          <w:p w14:paraId="7A5EF6F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eastAsia="宋体"/>
                <w:lang w:val="en-US" w:eastAsia="zh-CN"/>
              </w:rPr>
            </w:pPr>
            <w:r>
              <w:rPr>
                <w:rFonts w:hint="eastAsia" w:ascii="Times New Roman" w:hAnsi="Times New Roman" w:eastAsia="宋体" w:cs="Times New Roman"/>
                <w:kern w:val="2"/>
                <w:sz w:val="21"/>
                <w:szCs w:val="24"/>
                <w:lang w:val="en-US" w:eastAsia="zh-CN" w:bidi="ar-SA"/>
              </w:rPr>
              <w:t>⑤</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食品感官标度和类别检验</w:t>
            </w:r>
          </w:p>
        </w:tc>
      </w:tr>
      <w:tr w14:paraId="521E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976" w:type="dxa"/>
            <w:noWrap w:val="0"/>
            <w:vAlign w:val="center"/>
          </w:tcPr>
          <w:p w14:paraId="2D13FC0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学习内容</w:t>
            </w:r>
          </w:p>
        </w:tc>
        <w:tc>
          <w:tcPr>
            <w:tcW w:w="6790" w:type="dxa"/>
            <w:gridSpan w:val="5"/>
            <w:noWrap w:val="0"/>
            <w:vAlign w:val="center"/>
          </w:tcPr>
          <w:p w14:paraId="310448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①</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食品感官分析的基本条件。</w:t>
            </w:r>
          </w:p>
          <w:p w14:paraId="62DD22A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②</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食品感官分析方法。</w:t>
            </w:r>
          </w:p>
          <w:p w14:paraId="5C535D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③</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常见食品的感官分析。</w:t>
            </w:r>
          </w:p>
          <w:p w14:paraId="029B664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④</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现代仪器分析在食品感官评定中的应用。</w:t>
            </w:r>
          </w:p>
        </w:tc>
      </w:tr>
      <w:tr w14:paraId="11BF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976" w:type="dxa"/>
            <w:noWrap w:val="0"/>
            <w:vAlign w:val="center"/>
          </w:tcPr>
          <w:p w14:paraId="3A390A1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能力培养</w:t>
            </w:r>
          </w:p>
        </w:tc>
        <w:tc>
          <w:tcPr>
            <w:tcW w:w="6790" w:type="dxa"/>
            <w:gridSpan w:val="5"/>
            <w:noWrap w:val="0"/>
            <w:vAlign w:val="center"/>
          </w:tcPr>
          <w:p w14:paraId="52BCD8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①</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掌握感觉基础和感官分析的相关知识。 </w:t>
            </w:r>
          </w:p>
          <w:p w14:paraId="5ED2C6E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②</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能运用感官分析方法进行食品质量、等级与真伪的鉴别。 </w:t>
            </w:r>
          </w:p>
          <w:p w14:paraId="6368B1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③</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养成严谨求实、精益求精、诚实守信、客观公正、遵纪守法的职业态度，具备食品质量安全标准意识和责任意识</w:t>
            </w:r>
            <w:r>
              <w:rPr>
                <w:rFonts w:hint="eastAsia" w:cs="Times New Roman"/>
                <w:kern w:val="2"/>
                <w:sz w:val="21"/>
                <w:szCs w:val="24"/>
                <w:lang w:val="en-US" w:eastAsia="zh-CN" w:bidi="ar-SA"/>
              </w:rPr>
              <w:t>。</w:t>
            </w:r>
          </w:p>
        </w:tc>
      </w:tr>
      <w:tr w14:paraId="1502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6" w:type="dxa"/>
            <w:noWrap w:val="0"/>
            <w:vAlign w:val="center"/>
          </w:tcPr>
          <w:p w14:paraId="0395E11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14:paraId="02D070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①</w:t>
            </w:r>
            <w:r>
              <w:rPr>
                <w:rFonts w:hint="eastAsia" w:cs="Times New Roman"/>
                <w:kern w:val="2"/>
                <w:sz w:val="21"/>
                <w:szCs w:val="24"/>
                <w:lang w:val="en-US" w:eastAsia="zh-CN" w:bidi="ar-SA"/>
              </w:rPr>
              <w:t xml:space="preserve"> </w:t>
            </w:r>
            <w:r>
              <w:rPr>
                <w:rFonts w:hint="default" w:ascii="Times New Roman" w:hAnsi="Times New Roman" w:eastAsia="宋体" w:cs="Times New Roman"/>
                <w:kern w:val="2"/>
                <w:sz w:val="21"/>
                <w:szCs w:val="24"/>
                <w:lang w:val="en-US" w:eastAsia="zh-CN" w:bidi="ar-SA"/>
              </w:rPr>
              <w:t>食品检验工（国家职业资格证书）</w:t>
            </w:r>
          </w:p>
          <w:p w14:paraId="66B2A3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②</w:t>
            </w:r>
            <w:r>
              <w:rPr>
                <w:rFonts w:hint="eastAsia" w:cs="Times New Roman"/>
                <w:kern w:val="2"/>
                <w:sz w:val="21"/>
                <w:szCs w:val="24"/>
                <w:lang w:val="en-US" w:eastAsia="zh-CN" w:bidi="ar-SA"/>
              </w:rPr>
              <w:t xml:space="preserve"> </w:t>
            </w:r>
            <w:r>
              <w:rPr>
                <w:rFonts w:hint="default" w:ascii="Times New Roman" w:hAnsi="Times New Roman" w:eastAsia="宋体" w:cs="Times New Roman"/>
                <w:kern w:val="2"/>
                <w:sz w:val="21"/>
                <w:szCs w:val="24"/>
                <w:lang w:val="en-US" w:eastAsia="zh-CN" w:bidi="ar-SA"/>
              </w:rPr>
              <w:t>ISO感官评价相关资质（如ISO 17025实验室认可）</w:t>
            </w:r>
          </w:p>
          <w:p w14:paraId="3C05EE9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③</w:t>
            </w:r>
            <w:r>
              <w:rPr>
                <w:rFonts w:hint="eastAsia" w:cs="Times New Roman"/>
                <w:kern w:val="2"/>
                <w:sz w:val="21"/>
                <w:szCs w:val="24"/>
                <w:lang w:val="en-US" w:eastAsia="zh-CN" w:bidi="ar-SA"/>
              </w:rPr>
              <w:t xml:space="preserve"> </w:t>
            </w:r>
            <w:r>
              <w:rPr>
                <w:rFonts w:hint="default" w:ascii="Times New Roman" w:hAnsi="Times New Roman" w:eastAsia="宋体" w:cs="Times New Roman"/>
                <w:kern w:val="2"/>
                <w:sz w:val="21"/>
                <w:szCs w:val="24"/>
                <w:lang w:val="en-US" w:eastAsia="zh-CN" w:bidi="ar-SA"/>
              </w:rPr>
              <w:t>国际感官科学学会（如ICS）认证</w:t>
            </w:r>
          </w:p>
          <w:p w14:paraId="1D8CB69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④</w:t>
            </w:r>
            <w:r>
              <w:rPr>
                <w:rFonts w:hint="eastAsia" w:cs="Times New Roman"/>
                <w:kern w:val="2"/>
                <w:sz w:val="21"/>
                <w:szCs w:val="24"/>
                <w:lang w:val="en-US" w:eastAsia="zh-CN" w:bidi="ar-SA"/>
              </w:rPr>
              <w:t xml:space="preserve"> </w:t>
            </w:r>
            <w:r>
              <w:rPr>
                <w:rFonts w:hint="default" w:ascii="Times New Roman" w:hAnsi="Times New Roman" w:eastAsia="宋体" w:cs="Times New Roman"/>
                <w:kern w:val="2"/>
                <w:sz w:val="21"/>
                <w:szCs w:val="24"/>
                <w:lang w:val="en-US" w:eastAsia="zh-CN" w:bidi="ar-SA"/>
              </w:rPr>
              <w:t>行业专项证书（如酒类、乳品类感官评价证书）</w:t>
            </w:r>
          </w:p>
        </w:tc>
      </w:tr>
    </w:tbl>
    <w:p w14:paraId="762BACE7">
      <w:pPr>
        <w:bidi w:val="0"/>
        <w:rPr>
          <w:rFonts w:hint="eastAsia"/>
        </w:rPr>
      </w:pPr>
    </w:p>
    <w:p w14:paraId="290AE366">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2</w:t>
      </w:r>
      <w:r>
        <w:rPr>
          <w:rFonts w:hint="eastAsia" w:ascii="宋体" w:hAnsi="宋体" w:cs="宋体"/>
          <w:b/>
          <w:sz w:val="21"/>
          <w:szCs w:val="21"/>
        </w:rPr>
        <w:t xml:space="preserve"> 食品微生物检验技术课程描述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115"/>
        <w:gridCol w:w="1140"/>
        <w:gridCol w:w="960"/>
        <w:gridCol w:w="1114"/>
        <w:gridCol w:w="1461"/>
      </w:tblGrid>
      <w:tr w14:paraId="6AD1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95482D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课程名称</w:t>
            </w:r>
          </w:p>
        </w:tc>
        <w:tc>
          <w:tcPr>
            <w:tcW w:w="2115" w:type="dxa"/>
            <w:noWrap w:val="0"/>
            <w:vAlign w:val="center"/>
          </w:tcPr>
          <w:p w14:paraId="16CC8BD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食品</w:t>
            </w:r>
            <w:r>
              <w:rPr>
                <w:rFonts w:hint="eastAsia" w:eastAsia="宋体"/>
                <w:lang w:val="en-US" w:eastAsia="zh-CN"/>
              </w:rPr>
              <w:t>微生物检验技术</w:t>
            </w:r>
          </w:p>
        </w:tc>
        <w:tc>
          <w:tcPr>
            <w:tcW w:w="1140" w:type="dxa"/>
            <w:noWrap w:val="0"/>
            <w:vAlign w:val="center"/>
          </w:tcPr>
          <w:p w14:paraId="7FA803EE">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学分</w:t>
            </w:r>
          </w:p>
        </w:tc>
        <w:tc>
          <w:tcPr>
            <w:tcW w:w="960" w:type="dxa"/>
            <w:noWrap w:val="0"/>
            <w:vAlign w:val="center"/>
          </w:tcPr>
          <w:p w14:paraId="5B6D7DC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5</w:t>
            </w:r>
          </w:p>
        </w:tc>
        <w:tc>
          <w:tcPr>
            <w:tcW w:w="1114" w:type="dxa"/>
            <w:noWrap w:val="0"/>
            <w:vAlign w:val="center"/>
          </w:tcPr>
          <w:p w14:paraId="2742A584">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学时数</w:t>
            </w:r>
          </w:p>
        </w:tc>
        <w:tc>
          <w:tcPr>
            <w:tcW w:w="1461" w:type="dxa"/>
            <w:noWrap w:val="0"/>
            <w:vAlign w:val="center"/>
          </w:tcPr>
          <w:p w14:paraId="7B381DC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eastAsia="宋体"/>
                <w:lang w:val="en-US" w:eastAsia="zh-CN"/>
              </w:rPr>
            </w:pPr>
            <w:r>
              <w:rPr>
                <w:rFonts w:hint="eastAsia"/>
                <w:lang w:val="en-US" w:eastAsia="zh-CN"/>
              </w:rPr>
              <w:t>64</w:t>
            </w:r>
          </w:p>
        </w:tc>
      </w:tr>
      <w:tr w14:paraId="3E93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4B72EFA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课程目标</w:t>
            </w:r>
          </w:p>
        </w:tc>
        <w:tc>
          <w:tcPr>
            <w:tcW w:w="6790" w:type="dxa"/>
            <w:gridSpan w:val="5"/>
            <w:noWrap w:val="0"/>
            <w:vAlign w:val="center"/>
          </w:tcPr>
          <w:p w14:paraId="77A937C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①</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食品微生物检测前准备。 </w:t>
            </w:r>
          </w:p>
          <w:p w14:paraId="13E6C38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②</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食品微生物检验样品采集与制备。 </w:t>
            </w:r>
          </w:p>
          <w:p w14:paraId="2165A27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③</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食品微生物指标检测。 </w:t>
            </w:r>
          </w:p>
          <w:p w14:paraId="21F6DEE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④</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检测数据记录和处理。 </w:t>
            </w:r>
          </w:p>
          <w:p w14:paraId="5B9C6BA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⑤</w:t>
            </w:r>
            <w:r>
              <w:rPr>
                <w:rFonts w:hint="eastAsia"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检验检测报告撰写。</w:t>
            </w:r>
          </w:p>
        </w:tc>
      </w:tr>
      <w:tr w14:paraId="5167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6" w:type="dxa"/>
            <w:noWrap w:val="0"/>
            <w:vAlign w:val="center"/>
          </w:tcPr>
          <w:p w14:paraId="6136E8E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学习内容</w:t>
            </w:r>
          </w:p>
        </w:tc>
        <w:tc>
          <w:tcPr>
            <w:tcW w:w="6790" w:type="dxa"/>
            <w:gridSpan w:val="5"/>
            <w:noWrap w:val="0"/>
            <w:vAlign w:val="center"/>
          </w:tcPr>
          <w:p w14:paraId="450352E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食品微生物检验工作认知。 </w:t>
            </w:r>
          </w:p>
          <w:p w14:paraId="05C4E0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 食品微生物检验样品的采集与制备。 </w:t>
            </w:r>
          </w:p>
          <w:p w14:paraId="18168A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 食品常规卫生指示菌（菌落总数、大肠菌群、霉菌和酵母菌等）检验。 </w:t>
            </w:r>
          </w:p>
          <w:p w14:paraId="1CC18C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④ 食品常见致病菌（金黄色葡萄球菌、沙门菌等）检验。 </w:t>
            </w:r>
          </w:p>
          <w:p w14:paraId="784C5FA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⑤ 食品常见益生菌（乳酸菌等）检验。 </w:t>
            </w:r>
          </w:p>
          <w:p w14:paraId="6BCD62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⑥ 其他微生物指标检验等。</w:t>
            </w:r>
          </w:p>
        </w:tc>
      </w:tr>
      <w:tr w14:paraId="573A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77F6BCC1">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能力培养</w:t>
            </w:r>
          </w:p>
        </w:tc>
        <w:tc>
          <w:tcPr>
            <w:tcW w:w="6790" w:type="dxa"/>
            <w:gridSpan w:val="5"/>
            <w:noWrap w:val="0"/>
            <w:vAlign w:val="center"/>
          </w:tcPr>
          <w:p w14:paraId="54508FC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掌握食品微生物检验流程、检测、计数和报告方法等基本知识与技能。 </w:t>
            </w:r>
          </w:p>
          <w:p w14:paraId="79106C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 能独立完成检验标准查阅、方法选用、仪器设备操作、检样制备、微生物检测、报告撰写等技能。 </w:t>
            </w:r>
          </w:p>
          <w:p w14:paraId="220B81D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③ 养成严谨求实、精益求精、诚实守信、客观公正、遵纪守法的职业态度，具备食品质量安全标准意识和责任意识。</w:t>
            </w:r>
          </w:p>
        </w:tc>
      </w:tr>
      <w:tr w14:paraId="4F99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13EA053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14:paraId="681A4D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w:t>
            </w:r>
            <w:r>
              <w:rPr>
                <w:rFonts w:hint="default" w:ascii="Times New Roman" w:hAnsi="Times New Roman" w:eastAsia="宋体" w:cs="Times New Roman"/>
                <w:kern w:val="2"/>
                <w:sz w:val="21"/>
                <w:szCs w:val="24"/>
                <w:lang w:val="en-US" w:eastAsia="zh-CN" w:bidi="ar-SA"/>
              </w:rPr>
              <w:t>食品检验工（国家职业资格证书）</w:t>
            </w:r>
          </w:p>
          <w:p w14:paraId="25C2B8D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 </w:t>
            </w:r>
            <w:r>
              <w:rPr>
                <w:rFonts w:hint="default" w:ascii="Times New Roman" w:hAnsi="Times New Roman" w:eastAsia="宋体" w:cs="Times New Roman"/>
                <w:kern w:val="2"/>
                <w:sz w:val="21"/>
                <w:szCs w:val="24"/>
                <w:lang w:val="en-US" w:eastAsia="zh-CN" w:bidi="ar-SA"/>
              </w:rPr>
              <w:t>ISO 17025 实验室认可相关资质</w:t>
            </w:r>
          </w:p>
          <w:p w14:paraId="033DA9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 </w:t>
            </w:r>
            <w:r>
              <w:rPr>
                <w:rFonts w:hint="default" w:ascii="Times New Roman" w:hAnsi="Times New Roman" w:eastAsia="宋体" w:cs="Times New Roman"/>
                <w:kern w:val="2"/>
                <w:sz w:val="21"/>
                <w:szCs w:val="24"/>
                <w:lang w:val="en-US" w:eastAsia="zh-CN" w:bidi="ar-SA"/>
              </w:rPr>
              <w:t>临床微生物检验技师（卫生行业资格证）</w:t>
            </w:r>
          </w:p>
          <w:p w14:paraId="5CED0A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rPr>
            </w:pPr>
            <w:r>
              <w:rPr>
                <w:rFonts w:hint="eastAsia" w:ascii="Times New Roman" w:hAnsi="Times New Roman" w:eastAsia="宋体" w:cs="Times New Roman"/>
                <w:kern w:val="2"/>
                <w:sz w:val="21"/>
                <w:szCs w:val="24"/>
                <w:lang w:val="en-US" w:eastAsia="zh-CN" w:bidi="ar-SA"/>
              </w:rPr>
              <w:t xml:space="preserve">④ </w:t>
            </w:r>
            <w:r>
              <w:rPr>
                <w:rFonts w:hint="default" w:ascii="Times New Roman" w:hAnsi="Times New Roman" w:eastAsia="宋体" w:cs="Times New Roman"/>
                <w:kern w:val="2"/>
                <w:sz w:val="21"/>
                <w:szCs w:val="24"/>
                <w:lang w:val="en-US" w:eastAsia="zh-CN" w:bidi="ar-SA"/>
              </w:rPr>
              <w:t>行业专项证书（如 HACCP 内审员、乳制品检验员）</w:t>
            </w:r>
          </w:p>
        </w:tc>
      </w:tr>
    </w:tbl>
    <w:p w14:paraId="2CAE6A38">
      <w:pPr>
        <w:pageBreakBefore w:val="0"/>
        <w:kinsoku/>
        <w:wordWrap/>
        <w:overflowPunct/>
        <w:topLinePunct w:val="0"/>
        <w:autoSpaceDE/>
        <w:autoSpaceDN/>
        <w:bidi w:val="0"/>
        <w:spacing w:line="360" w:lineRule="auto"/>
        <w:ind w:left="0" w:right="0" w:rightChars="0"/>
        <w:rPr>
          <w:rFonts w:hint="eastAsia"/>
          <w:sz w:val="24"/>
          <w:szCs w:val="24"/>
          <w:lang w:eastAsia="zh-CN"/>
        </w:rPr>
      </w:pPr>
    </w:p>
    <w:p w14:paraId="18B2FCC2">
      <w:pPr>
        <w:pageBreakBefore w:val="0"/>
        <w:kinsoku/>
        <w:wordWrap/>
        <w:overflowPunct/>
        <w:topLinePunct w:val="0"/>
        <w:autoSpaceDE/>
        <w:autoSpaceDN/>
        <w:bidi w:val="0"/>
        <w:spacing w:line="360" w:lineRule="auto"/>
        <w:ind w:left="0" w:right="0" w:rightChars="0"/>
        <w:rPr>
          <w:rFonts w:hint="eastAsia"/>
          <w:sz w:val="24"/>
          <w:szCs w:val="24"/>
          <w:lang w:eastAsia="zh-CN"/>
        </w:rPr>
      </w:pPr>
    </w:p>
    <w:p w14:paraId="3030C63B">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3</w:t>
      </w:r>
      <w:r>
        <w:rPr>
          <w:rFonts w:hint="eastAsia" w:ascii="宋体" w:hAnsi="宋体" w:cs="宋体"/>
          <w:b/>
          <w:sz w:val="21"/>
          <w:szCs w:val="21"/>
        </w:rPr>
        <w:t xml:space="preserve"> 食品理化检验技术课程描述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5FBA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31855E4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课程名称</w:t>
            </w:r>
          </w:p>
        </w:tc>
        <w:tc>
          <w:tcPr>
            <w:tcW w:w="2040" w:type="dxa"/>
            <w:noWrap w:val="0"/>
            <w:vAlign w:val="center"/>
          </w:tcPr>
          <w:p w14:paraId="00A2BF8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食品理化</w:t>
            </w:r>
            <w:r>
              <w:rPr>
                <w:rFonts w:hint="eastAsia" w:eastAsia="宋体"/>
                <w:lang w:val="en-US" w:eastAsia="zh-CN"/>
              </w:rPr>
              <w:t>检验技术</w:t>
            </w:r>
          </w:p>
        </w:tc>
        <w:tc>
          <w:tcPr>
            <w:tcW w:w="1215" w:type="dxa"/>
            <w:noWrap w:val="0"/>
            <w:vAlign w:val="center"/>
          </w:tcPr>
          <w:p w14:paraId="45A0507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学分</w:t>
            </w:r>
          </w:p>
        </w:tc>
        <w:tc>
          <w:tcPr>
            <w:tcW w:w="960" w:type="dxa"/>
            <w:noWrap w:val="0"/>
            <w:vAlign w:val="center"/>
          </w:tcPr>
          <w:p w14:paraId="7C307FC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6</w:t>
            </w:r>
          </w:p>
        </w:tc>
        <w:tc>
          <w:tcPr>
            <w:tcW w:w="1114" w:type="dxa"/>
            <w:noWrap w:val="0"/>
            <w:vAlign w:val="center"/>
          </w:tcPr>
          <w:p w14:paraId="7769984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学时数</w:t>
            </w:r>
          </w:p>
        </w:tc>
        <w:tc>
          <w:tcPr>
            <w:tcW w:w="1461" w:type="dxa"/>
            <w:noWrap w:val="0"/>
            <w:vAlign w:val="center"/>
          </w:tcPr>
          <w:p w14:paraId="10172EC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96</w:t>
            </w:r>
          </w:p>
        </w:tc>
      </w:tr>
      <w:tr w14:paraId="3AE1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3D474798">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课程目标</w:t>
            </w:r>
          </w:p>
        </w:tc>
        <w:tc>
          <w:tcPr>
            <w:tcW w:w="6790" w:type="dxa"/>
            <w:gridSpan w:val="5"/>
            <w:noWrap w:val="0"/>
            <w:vAlign w:val="center"/>
          </w:tcPr>
          <w:p w14:paraId="31C6E7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食品理化检测前准备。 </w:t>
            </w:r>
          </w:p>
          <w:p w14:paraId="586E96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 食品理化检验样品采集与制备。 </w:t>
            </w:r>
          </w:p>
          <w:p w14:paraId="6E45268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 食品理化指标检测。 </w:t>
            </w:r>
          </w:p>
          <w:p w14:paraId="5112A8E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④ 检测数据记录和处理。 </w:t>
            </w:r>
          </w:p>
          <w:p w14:paraId="5EE29C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⑤ 检验检测报告撰写。</w:t>
            </w:r>
          </w:p>
        </w:tc>
      </w:tr>
      <w:tr w14:paraId="0013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435F496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学习内容</w:t>
            </w:r>
          </w:p>
        </w:tc>
        <w:tc>
          <w:tcPr>
            <w:tcW w:w="6790" w:type="dxa"/>
            <w:gridSpan w:val="5"/>
            <w:noWrap w:val="0"/>
            <w:vAlign w:val="center"/>
          </w:tcPr>
          <w:p w14:paraId="67F3474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食品理化检验工作认知。 </w:t>
            </w:r>
          </w:p>
          <w:p w14:paraId="209107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 食品理化检验样品的采集与制备。 </w:t>
            </w:r>
          </w:p>
          <w:p w14:paraId="2DC2FC0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 食品常规理化指标（相对密度、酸价、灰分等）的检测。 </w:t>
            </w:r>
          </w:p>
          <w:p w14:paraId="66724AA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④ 食品营养成分（蛋白质、脂肪、碳水化合物、水分等）的检测。</w:t>
            </w:r>
          </w:p>
        </w:tc>
      </w:tr>
      <w:tr w14:paraId="43E1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4D58F892">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能力培养</w:t>
            </w:r>
          </w:p>
        </w:tc>
        <w:tc>
          <w:tcPr>
            <w:tcW w:w="6790" w:type="dxa"/>
            <w:gridSpan w:val="5"/>
            <w:noWrap w:val="0"/>
            <w:vAlign w:val="center"/>
          </w:tcPr>
          <w:p w14:paraId="430D7F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掌握食品理化检测的流程、原理和常用方法等基本知识与技能。 </w:t>
            </w:r>
          </w:p>
          <w:p w14:paraId="39675DB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 能独立完成检验标准查阅、方法选用、仪器设备操作、样品采集和前处理、理化检测、报告撰写等技能。 </w:t>
            </w:r>
          </w:p>
          <w:p w14:paraId="57810CB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③ 养成严谨求实、精益求精、诚实守信、客观公正、遵纪守法的职业态度，具备食品质量安全标准意识和责任意识。</w:t>
            </w:r>
          </w:p>
        </w:tc>
      </w:tr>
      <w:tr w14:paraId="176F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3FFB4AF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14:paraId="648699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w:t>
            </w:r>
            <w:r>
              <w:rPr>
                <w:rFonts w:hint="default" w:ascii="Times New Roman" w:hAnsi="Times New Roman" w:eastAsia="宋体" w:cs="Times New Roman"/>
                <w:kern w:val="2"/>
                <w:sz w:val="21"/>
                <w:szCs w:val="24"/>
                <w:lang w:val="en-US" w:eastAsia="zh-CN" w:bidi="ar-SA"/>
              </w:rPr>
              <w:t>食品检验工（国家职业资格证书）</w:t>
            </w:r>
          </w:p>
          <w:p w14:paraId="4EED86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 </w:t>
            </w:r>
            <w:r>
              <w:rPr>
                <w:rFonts w:hint="default" w:ascii="Times New Roman" w:hAnsi="Times New Roman" w:eastAsia="宋体" w:cs="Times New Roman"/>
                <w:kern w:val="2"/>
                <w:sz w:val="21"/>
                <w:szCs w:val="24"/>
                <w:lang w:val="en-US" w:eastAsia="zh-CN" w:bidi="ar-SA"/>
              </w:rPr>
              <w:t>CMA检验检测机构资质认定</w:t>
            </w:r>
          </w:p>
          <w:p w14:paraId="2BF45D6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 </w:t>
            </w:r>
            <w:r>
              <w:rPr>
                <w:rFonts w:hint="default" w:ascii="Times New Roman" w:hAnsi="Times New Roman" w:eastAsia="宋体" w:cs="Times New Roman"/>
                <w:kern w:val="2"/>
                <w:sz w:val="21"/>
                <w:szCs w:val="24"/>
                <w:lang w:val="en-US" w:eastAsia="zh-CN" w:bidi="ar-SA"/>
              </w:rPr>
              <w:t>HACCP体系相关证书（如内审员）</w:t>
            </w:r>
          </w:p>
          <w:p w14:paraId="58D2290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④ </w:t>
            </w:r>
            <w:r>
              <w:rPr>
                <w:rFonts w:hint="default" w:ascii="Times New Roman" w:hAnsi="Times New Roman" w:eastAsia="宋体" w:cs="Times New Roman"/>
                <w:kern w:val="2"/>
                <w:sz w:val="21"/>
                <w:szCs w:val="24"/>
                <w:lang w:val="en-US" w:eastAsia="zh-CN" w:bidi="ar-SA"/>
              </w:rPr>
              <w:t>行业专项证书（如乳制品检验员、酒类检测师）</w:t>
            </w:r>
          </w:p>
        </w:tc>
      </w:tr>
    </w:tbl>
    <w:p w14:paraId="3EB12BB7">
      <w:pPr>
        <w:pageBreakBefore w:val="0"/>
        <w:kinsoku/>
        <w:wordWrap/>
        <w:overflowPunct/>
        <w:topLinePunct w:val="0"/>
        <w:autoSpaceDE/>
        <w:autoSpaceDN/>
        <w:bidi w:val="0"/>
        <w:spacing w:line="360" w:lineRule="auto"/>
        <w:ind w:left="0" w:right="0" w:rightChars="0"/>
        <w:rPr>
          <w:rFonts w:hint="eastAsia"/>
          <w:sz w:val="24"/>
          <w:szCs w:val="24"/>
          <w:lang w:eastAsia="zh-CN"/>
        </w:rPr>
      </w:pPr>
    </w:p>
    <w:p w14:paraId="34531CE7">
      <w:pPr>
        <w:pageBreakBefore w:val="0"/>
        <w:kinsoku/>
        <w:wordWrap/>
        <w:overflowPunct/>
        <w:topLinePunct w:val="0"/>
        <w:autoSpaceDE/>
        <w:autoSpaceDN/>
        <w:bidi w:val="0"/>
        <w:spacing w:line="360" w:lineRule="auto"/>
        <w:ind w:left="0" w:right="0" w:rightChars="0"/>
        <w:rPr>
          <w:rFonts w:hint="eastAsia"/>
          <w:sz w:val="24"/>
          <w:szCs w:val="24"/>
          <w:lang w:eastAsia="zh-CN"/>
        </w:rPr>
      </w:pPr>
    </w:p>
    <w:p w14:paraId="7FF0AC76">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4</w:t>
      </w:r>
      <w:r>
        <w:rPr>
          <w:rFonts w:hint="eastAsia" w:ascii="宋体" w:hAnsi="宋体" w:cs="宋体"/>
          <w:b/>
          <w:sz w:val="21"/>
          <w:szCs w:val="21"/>
        </w:rPr>
        <w:t xml:space="preserve"> 食</w:t>
      </w:r>
      <w:r>
        <w:rPr>
          <w:rFonts w:hint="eastAsia" w:ascii="宋体" w:hAnsi="宋体" w:cs="宋体"/>
          <w:b/>
          <w:sz w:val="21"/>
          <w:szCs w:val="21"/>
          <w:lang w:val="en-US" w:eastAsia="zh-CN"/>
        </w:rPr>
        <w:t>品仪器分析</w:t>
      </w:r>
      <w:r>
        <w:rPr>
          <w:rFonts w:hint="eastAsia" w:ascii="宋体" w:hAnsi="宋体" w:cs="宋体"/>
          <w:b/>
          <w:sz w:val="21"/>
          <w:szCs w:val="21"/>
        </w:rPr>
        <w:t>技术课程描述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7EBE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11530BA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课程名称</w:t>
            </w:r>
          </w:p>
        </w:tc>
        <w:tc>
          <w:tcPr>
            <w:tcW w:w="2040" w:type="dxa"/>
            <w:noWrap w:val="0"/>
            <w:vAlign w:val="center"/>
          </w:tcPr>
          <w:p w14:paraId="66653C7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食品仪器分析</w:t>
            </w:r>
            <w:r>
              <w:rPr>
                <w:rFonts w:hint="eastAsia" w:eastAsia="宋体"/>
                <w:lang w:val="en-US" w:eastAsia="zh-CN"/>
              </w:rPr>
              <w:t>技术</w:t>
            </w:r>
          </w:p>
        </w:tc>
        <w:tc>
          <w:tcPr>
            <w:tcW w:w="1215" w:type="dxa"/>
            <w:noWrap w:val="0"/>
            <w:vAlign w:val="center"/>
          </w:tcPr>
          <w:p w14:paraId="632242DE">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学分</w:t>
            </w:r>
          </w:p>
        </w:tc>
        <w:tc>
          <w:tcPr>
            <w:tcW w:w="960" w:type="dxa"/>
            <w:noWrap w:val="0"/>
            <w:vAlign w:val="center"/>
          </w:tcPr>
          <w:p w14:paraId="114C5E8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3</w:t>
            </w:r>
          </w:p>
        </w:tc>
        <w:tc>
          <w:tcPr>
            <w:tcW w:w="1114" w:type="dxa"/>
            <w:noWrap w:val="0"/>
            <w:vAlign w:val="center"/>
          </w:tcPr>
          <w:p w14:paraId="38C52E1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学时数</w:t>
            </w:r>
          </w:p>
        </w:tc>
        <w:tc>
          <w:tcPr>
            <w:tcW w:w="1461" w:type="dxa"/>
            <w:noWrap w:val="0"/>
            <w:vAlign w:val="center"/>
          </w:tcPr>
          <w:p w14:paraId="7726E79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48</w:t>
            </w:r>
          </w:p>
        </w:tc>
      </w:tr>
      <w:tr w14:paraId="4A1E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1A3B1E7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课程目标</w:t>
            </w:r>
          </w:p>
        </w:tc>
        <w:tc>
          <w:tcPr>
            <w:tcW w:w="6790" w:type="dxa"/>
            <w:gridSpan w:val="5"/>
            <w:noWrap w:val="0"/>
            <w:vAlign w:val="center"/>
          </w:tcPr>
          <w:p w14:paraId="1B53AF4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常用食品分析仪器设备使用和维护。 </w:t>
            </w:r>
          </w:p>
          <w:p w14:paraId="7AF732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 食用农产品或食品采集与前处理。 </w:t>
            </w:r>
          </w:p>
          <w:p w14:paraId="4E1FEB8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 食品农产品或食品质量安全指标检测。 </w:t>
            </w:r>
          </w:p>
          <w:p w14:paraId="4B2D1F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④ 检测数据记录和处理。 </w:t>
            </w:r>
          </w:p>
          <w:p w14:paraId="252FEE8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⑤ 检验检测报告撰写。</w:t>
            </w:r>
          </w:p>
        </w:tc>
      </w:tr>
      <w:tr w14:paraId="7221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7AEA6E8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学习内容</w:t>
            </w:r>
          </w:p>
        </w:tc>
        <w:tc>
          <w:tcPr>
            <w:tcW w:w="6790" w:type="dxa"/>
            <w:gridSpan w:val="5"/>
            <w:noWrap w:val="0"/>
            <w:vAlign w:val="center"/>
          </w:tcPr>
          <w:p w14:paraId="7D12CD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食用农产品中重金属元素检测。 </w:t>
            </w:r>
          </w:p>
          <w:p w14:paraId="048EB19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 食品中添加剂检测。 </w:t>
            </w:r>
          </w:p>
          <w:p w14:paraId="756B2F1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 食用农产品中农残和兽残检测。 </w:t>
            </w:r>
          </w:p>
          <w:p w14:paraId="11A23F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④ 食品中非法添加物检测。</w:t>
            </w:r>
          </w:p>
        </w:tc>
      </w:tr>
      <w:tr w14:paraId="7781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64C100F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能力培养</w:t>
            </w:r>
          </w:p>
        </w:tc>
        <w:tc>
          <w:tcPr>
            <w:tcW w:w="6790" w:type="dxa"/>
            <w:gridSpan w:val="5"/>
            <w:noWrap w:val="0"/>
            <w:vAlign w:val="center"/>
          </w:tcPr>
          <w:p w14:paraId="6F52F52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掌握常用食品分析仪器的工作原理、使用和维护方法。 </w:t>
            </w:r>
          </w:p>
          <w:p w14:paraId="1A22FF5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 能应用仪器分析技术对食用农产品或食品样品的质量安全指标进行分析检测。 </w:t>
            </w:r>
          </w:p>
          <w:p w14:paraId="6B8CA2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③ 养成严谨求实、精益求精、诚实守信、客观公正、遵纪守法的职业态度，具备食品质量安全标准意识和责任意识。</w:t>
            </w:r>
          </w:p>
        </w:tc>
      </w:tr>
      <w:tr w14:paraId="67D3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3C082368">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14:paraId="4781991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w:t>
            </w:r>
            <w:r>
              <w:rPr>
                <w:rFonts w:hint="default" w:ascii="Times New Roman" w:hAnsi="Times New Roman" w:eastAsia="宋体" w:cs="Times New Roman"/>
                <w:kern w:val="2"/>
                <w:sz w:val="21"/>
                <w:szCs w:val="24"/>
                <w:lang w:val="en-US" w:eastAsia="zh-CN" w:bidi="ar-SA"/>
              </w:rPr>
              <w:t>食品检验工（国家职业资格证书）</w:t>
            </w:r>
            <w:r>
              <w:rPr>
                <w:rFonts w:hint="eastAsia" w:cs="Times New Roman"/>
                <w:kern w:val="2"/>
                <w:sz w:val="21"/>
                <w:szCs w:val="24"/>
                <w:lang w:val="en-US" w:eastAsia="zh-CN" w:bidi="ar-SA"/>
              </w:rPr>
              <w:t>。</w:t>
            </w:r>
          </w:p>
          <w:p w14:paraId="234722B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 </w:t>
            </w:r>
            <w:r>
              <w:rPr>
                <w:rFonts w:hint="default" w:ascii="Times New Roman" w:hAnsi="Times New Roman" w:eastAsia="宋体" w:cs="Times New Roman"/>
                <w:kern w:val="2"/>
                <w:sz w:val="21"/>
                <w:szCs w:val="24"/>
                <w:lang w:val="en-US" w:eastAsia="zh-CN" w:bidi="ar-SA"/>
              </w:rPr>
              <w:t>CMA/CNAS 实验室资质认定</w:t>
            </w:r>
            <w:r>
              <w:rPr>
                <w:rFonts w:hint="eastAsia" w:cs="Times New Roman"/>
                <w:kern w:val="2"/>
                <w:sz w:val="21"/>
                <w:szCs w:val="24"/>
                <w:lang w:val="en-US" w:eastAsia="zh-CN" w:bidi="ar-SA"/>
              </w:rPr>
              <w:t>。</w:t>
            </w:r>
          </w:p>
          <w:p w14:paraId="62E46D6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 </w:t>
            </w:r>
            <w:r>
              <w:rPr>
                <w:rFonts w:hint="default" w:ascii="Times New Roman" w:hAnsi="Times New Roman" w:eastAsia="宋体" w:cs="Times New Roman"/>
                <w:kern w:val="2"/>
                <w:sz w:val="21"/>
                <w:szCs w:val="24"/>
                <w:lang w:val="en-US" w:eastAsia="zh-CN" w:bidi="ar-SA"/>
              </w:rPr>
              <w:t>ISO 17025 实验室认可相关资质</w:t>
            </w:r>
            <w:r>
              <w:rPr>
                <w:rFonts w:hint="eastAsia" w:cs="Times New Roman"/>
                <w:kern w:val="2"/>
                <w:sz w:val="21"/>
                <w:szCs w:val="24"/>
                <w:lang w:val="en-US" w:eastAsia="zh-CN" w:bidi="ar-SA"/>
              </w:rPr>
              <w:t>。</w:t>
            </w:r>
          </w:p>
          <w:p w14:paraId="5D47CE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④ </w:t>
            </w:r>
            <w:r>
              <w:rPr>
                <w:rFonts w:hint="default" w:ascii="Times New Roman" w:hAnsi="Times New Roman" w:eastAsia="宋体" w:cs="Times New Roman"/>
                <w:kern w:val="2"/>
                <w:sz w:val="21"/>
                <w:szCs w:val="24"/>
                <w:lang w:val="en-US" w:eastAsia="zh-CN" w:bidi="ar-SA"/>
              </w:rPr>
              <w:t>行业专项证书（如乳制品检验员、保健食品检测师）</w:t>
            </w:r>
            <w:r>
              <w:rPr>
                <w:rFonts w:hint="eastAsia" w:cs="Times New Roman"/>
                <w:kern w:val="2"/>
                <w:sz w:val="21"/>
                <w:szCs w:val="24"/>
                <w:lang w:val="en-US" w:eastAsia="zh-CN" w:bidi="ar-SA"/>
              </w:rPr>
              <w:t>。</w:t>
            </w:r>
          </w:p>
        </w:tc>
      </w:tr>
    </w:tbl>
    <w:p w14:paraId="4AD6F2D3">
      <w:pPr>
        <w:pageBreakBefore w:val="0"/>
        <w:kinsoku/>
        <w:wordWrap/>
        <w:overflowPunct/>
        <w:topLinePunct w:val="0"/>
        <w:autoSpaceDE/>
        <w:autoSpaceDN/>
        <w:bidi w:val="0"/>
        <w:spacing w:line="360" w:lineRule="auto"/>
        <w:ind w:left="0" w:right="0" w:rightChars="0"/>
        <w:rPr>
          <w:rFonts w:hint="eastAsia"/>
          <w:sz w:val="24"/>
          <w:szCs w:val="24"/>
          <w:lang w:eastAsia="zh-CN"/>
        </w:rPr>
      </w:pPr>
    </w:p>
    <w:p w14:paraId="4D3734B4">
      <w:pPr>
        <w:pageBreakBefore w:val="0"/>
        <w:kinsoku/>
        <w:wordWrap/>
        <w:overflowPunct/>
        <w:topLinePunct w:val="0"/>
        <w:autoSpaceDE/>
        <w:autoSpaceDN/>
        <w:bidi w:val="0"/>
        <w:spacing w:line="360" w:lineRule="auto"/>
        <w:ind w:left="0" w:right="0" w:rightChars="0"/>
        <w:rPr>
          <w:rFonts w:hint="eastAsia"/>
          <w:sz w:val="24"/>
          <w:szCs w:val="24"/>
          <w:lang w:eastAsia="zh-CN"/>
        </w:rPr>
      </w:pPr>
    </w:p>
    <w:p w14:paraId="542401C9">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5</w:t>
      </w:r>
      <w:r>
        <w:rPr>
          <w:rFonts w:hint="eastAsia" w:ascii="宋体" w:hAnsi="宋体" w:cs="宋体"/>
          <w:b/>
          <w:sz w:val="21"/>
          <w:szCs w:val="21"/>
        </w:rPr>
        <w:t xml:space="preserve"> 食</w:t>
      </w:r>
      <w:r>
        <w:rPr>
          <w:rFonts w:hint="eastAsia" w:ascii="宋体" w:hAnsi="宋体" w:cs="宋体"/>
          <w:b/>
          <w:sz w:val="21"/>
          <w:szCs w:val="21"/>
          <w:lang w:val="en-US" w:eastAsia="zh-CN"/>
        </w:rPr>
        <w:t>品快速检测</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2A88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1B06369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课程名称</w:t>
            </w:r>
          </w:p>
        </w:tc>
        <w:tc>
          <w:tcPr>
            <w:tcW w:w="2040" w:type="dxa"/>
            <w:noWrap w:val="0"/>
            <w:vAlign w:val="center"/>
          </w:tcPr>
          <w:p w14:paraId="7F5B2B9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食品快速检测</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技术</w:t>
            </w:r>
          </w:p>
        </w:tc>
        <w:tc>
          <w:tcPr>
            <w:tcW w:w="1215" w:type="dxa"/>
            <w:noWrap w:val="0"/>
            <w:vAlign w:val="center"/>
          </w:tcPr>
          <w:p w14:paraId="0643210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学分</w:t>
            </w:r>
          </w:p>
        </w:tc>
        <w:tc>
          <w:tcPr>
            <w:tcW w:w="960" w:type="dxa"/>
            <w:noWrap w:val="0"/>
            <w:vAlign w:val="center"/>
          </w:tcPr>
          <w:p w14:paraId="71A3D03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3</w:t>
            </w:r>
          </w:p>
        </w:tc>
        <w:tc>
          <w:tcPr>
            <w:tcW w:w="1114" w:type="dxa"/>
            <w:noWrap w:val="0"/>
            <w:vAlign w:val="center"/>
          </w:tcPr>
          <w:p w14:paraId="0BC484F8">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学时数</w:t>
            </w:r>
          </w:p>
        </w:tc>
        <w:tc>
          <w:tcPr>
            <w:tcW w:w="1461" w:type="dxa"/>
            <w:noWrap w:val="0"/>
            <w:vAlign w:val="center"/>
          </w:tcPr>
          <w:p w14:paraId="0A89A26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48</w:t>
            </w:r>
          </w:p>
        </w:tc>
      </w:tr>
      <w:tr w14:paraId="08AF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6CB3BC7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课程目标</w:t>
            </w:r>
          </w:p>
        </w:tc>
        <w:tc>
          <w:tcPr>
            <w:tcW w:w="6790" w:type="dxa"/>
            <w:gridSpan w:val="5"/>
            <w:noWrap w:val="0"/>
            <w:vAlign w:val="center"/>
          </w:tcPr>
          <w:p w14:paraId="23E649C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常用食品快检设备使用和维护。 </w:t>
            </w:r>
          </w:p>
          <w:p w14:paraId="39663AD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 食用农产品或食品采集与前处理。 </w:t>
            </w:r>
          </w:p>
          <w:p w14:paraId="4EBB763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 食用农产品或食品质量安全指标快速检测。 </w:t>
            </w:r>
          </w:p>
          <w:p w14:paraId="548CF9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④ 检测数据记录和处理。</w:t>
            </w:r>
          </w:p>
          <w:p w14:paraId="228A4E1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⑤ 检测报告撰写</w:t>
            </w:r>
            <w:r>
              <w:rPr>
                <w:rFonts w:hint="eastAsia" w:cs="Times New Roman"/>
                <w:kern w:val="2"/>
                <w:sz w:val="21"/>
                <w:szCs w:val="24"/>
                <w:lang w:val="en-US" w:eastAsia="zh-CN" w:bidi="ar-SA"/>
              </w:rPr>
              <w:t>。</w:t>
            </w:r>
          </w:p>
        </w:tc>
      </w:tr>
      <w:tr w14:paraId="77D8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3EFAB654">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学习内容</w:t>
            </w:r>
          </w:p>
        </w:tc>
        <w:tc>
          <w:tcPr>
            <w:tcW w:w="6790" w:type="dxa"/>
            <w:gridSpan w:val="5"/>
            <w:noWrap w:val="0"/>
            <w:vAlign w:val="center"/>
          </w:tcPr>
          <w:p w14:paraId="1F4E98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食用农产品中常见农药残留快速检测。 </w:t>
            </w:r>
          </w:p>
          <w:p w14:paraId="615383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 食用农产品中兽药残留快速检测。 </w:t>
            </w:r>
          </w:p>
          <w:p w14:paraId="0E6D8A4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 食品中添加剂快速检测。 </w:t>
            </w:r>
          </w:p>
          <w:p w14:paraId="086D12E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④ 食品中违禁添加物快速检测，食品中微生物快速检测等。</w:t>
            </w:r>
          </w:p>
        </w:tc>
      </w:tr>
      <w:tr w14:paraId="1F3B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6F0EE924">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能力培养</w:t>
            </w:r>
          </w:p>
        </w:tc>
        <w:tc>
          <w:tcPr>
            <w:tcW w:w="6790" w:type="dxa"/>
            <w:gridSpan w:val="5"/>
            <w:noWrap w:val="0"/>
            <w:vAlign w:val="center"/>
          </w:tcPr>
          <w:p w14:paraId="22618F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掌握食品快速检测的原理、方法等基本知识与技能。 </w:t>
            </w:r>
          </w:p>
          <w:p w14:paraId="221845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② 能独立完成食品或食用农产品常见质量安全指标的快速检测。</w:t>
            </w:r>
          </w:p>
          <w:p w14:paraId="0CC4070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 能对食品快检设备进行日常维护保养及校准审核。 </w:t>
            </w:r>
          </w:p>
          <w:p w14:paraId="154BFAB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④ 养成严谨求实、精益求精、诚实守信、客观公正、遵纪守法的职业态度，具备食品质量安全标准意识和责任意识。</w:t>
            </w:r>
          </w:p>
        </w:tc>
      </w:tr>
      <w:tr w14:paraId="177F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20C4402">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14:paraId="6EA577E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w:t>
            </w:r>
            <w:r>
              <w:rPr>
                <w:rFonts w:hint="default" w:ascii="Times New Roman" w:hAnsi="Times New Roman" w:eastAsia="宋体" w:cs="Times New Roman"/>
                <w:kern w:val="2"/>
                <w:sz w:val="21"/>
                <w:szCs w:val="24"/>
                <w:lang w:val="en-US" w:eastAsia="zh-CN" w:bidi="ar-SA"/>
              </w:rPr>
              <w:t>食品检验工（快速检测专项）</w:t>
            </w:r>
            <w:r>
              <w:rPr>
                <w:rFonts w:hint="eastAsia" w:ascii="Times New Roman" w:hAnsi="Times New Roman" w:eastAsia="宋体" w:cs="Times New Roman"/>
                <w:kern w:val="2"/>
                <w:sz w:val="21"/>
                <w:szCs w:val="24"/>
                <w:lang w:val="en-US" w:eastAsia="zh-CN" w:bidi="ar-SA"/>
              </w:rPr>
              <w:t>。</w:t>
            </w:r>
          </w:p>
          <w:p w14:paraId="0D35552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 </w:t>
            </w:r>
            <w:r>
              <w:rPr>
                <w:rFonts w:hint="default" w:ascii="Times New Roman" w:hAnsi="Times New Roman" w:eastAsia="宋体" w:cs="Times New Roman"/>
                <w:kern w:val="2"/>
                <w:sz w:val="21"/>
                <w:szCs w:val="24"/>
                <w:lang w:val="en-US" w:eastAsia="zh-CN" w:bidi="ar-SA"/>
              </w:rPr>
              <w:t>农产品质量安全检测员</w:t>
            </w:r>
            <w:r>
              <w:rPr>
                <w:rFonts w:hint="eastAsia" w:ascii="Times New Roman" w:hAnsi="Times New Roman" w:eastAsia="宋体" w:cs="Times New Roman"/>
                <w:kern w:val="2"/>
                <w:sz w:val="21"/>
                <w:szCs w:val="24"/>
                <w:lang w:val="en-US" w:eastAsia="zh-CN" w:bidi="ar-SA"/>
              </w:rPr>
              <w:t>。</w:t>
            </w:r>
          </w:p>
          <w:p w14:paraId="0310D7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 </w:t>
            </w:r>
            <w:r>
              <w:rPr>
                <w:rFonts w:hint="default" w:ascii="Times New Roman" w:hAnsi="Times New Roman" w:eastAsia="宋体" w:cs="Times New Roman"/>
                <w:kern w:val="2"/>
                <w:sz w:val="21"/>
                <w:szCs w:val="24"/>
                <w:lang w:val="en-US" w:eastAsia="zh-CN" w:bidi="ar-SA"/>
              </w:rPr>
              <w:t>应急检测相关资质（如公共卫生应急检测员）</w:t>
            </w:r>
            <w:r>
              <w:rPr>
                <w:rFonts w:hint="eastAsia" w:ascii="Times New Roman" w:hAnsi="Times New Roman" w:eastAsia="宋体" w:cs="Times New Roman"/>
                <w:kern w:val="2"/>
                <w:sz w:val="21"/>
                <w:szCs w:val="24"/>
                <w:lang w:val="en-US" w:eastAsia="zh-CN" w:bidi="ar-SA"/>
              </w:rPr>
              <w:t>。</w:t>
            </w:r>
          </w:p>
          <w:p w14:paraId="3CE199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④ </w:t>
            </w:r>
            <w:r>
              <w:rPr>
                <w:rFonts w:hint="default" w:ascii="Times New Roman" w:hAnsi="Times New Roman" w:eastAsia="宋体" w:cs="Times New Roman"/>
                <w:kern w:val="2"/>
                <w:sz w:val="21"/>
                <w:szCs w:val="24"/>
                <w:lang w:val="en-US" w:eastAsia="zh-CN" w:bidi="ar-SA"/>
              </w:rPr>
              <w:t>行业专项快检证书（如乳制品快检师、餐饮快检员）</w:t>
            </w:r>
            <w:r>
              <w:rPr>
                <w:rFonts w:hint="eastAsia" w:ascii="Times New Roman" w:hAnsi="Times New Roman" w:eastAsia="宋体" w:cs="Times New Roman"/>
                <w:kern w:val="2"/>
                <w:sz w:val="21"/>
                <w:szCs w:val="24"/>
                <w:lang w:val="en-US" w:eastAsia="zh-CN" w:bidi="ar-SA"/>
              </w:rPr>
              <w:t>。</w:t>
            </w:r>
          </w:p>
        </w:tc>
      </w:tr>
    </w:tbl>
    <w:p w14:paraId="1815BCB5">
      <w:pPr>
        <w:pageBreakBefore w:val="0"/>
        <w:kinsoku/>
        <w:wordWrap/>
        <w:overflowPunct/>
        <w:topLinePunct w:val="0"/>
        <w:autoSpaceDE/>
        <w:autoSpaceDN/>
        <w:bidi w:val="0"/>
        <w:spacing w:line="360" w:lineRule="auto"/>
        <w:ind w:left="0" w:right="0" w:rightChars="0"/>
        <w:rPr>
          <w:rFonts w:hint="eastAsia"/>
          <w:sz w:val="24"/>
          <w:szCs w:val="24"/>
          <w:lang w:eastAsia="zh-CN"/>
        </w:rPr>
      </w:pPr>
    </w:p>
    <w:p w14:paraId="473FB0E8">
      <w:pPr>
        <w:pageBreakBefore w:val="0"/>
        <w:kinsoku/>
        <w:wordWrap/>
        <w:overflowPunct/>
        <w:topLinePunct w:val="0"/>
        <w:autoSpaceDE/>
        <w:autoSpaceDN/>
        <w:bidi w:val="0"/>
        <w:spacing w:line="360" w:lineRule="auto"/>
        <w:ind w:left="0" w:right="0" w:rightChars="0"/>
        <w:rPr>
          <w:rFonts w:hint="eastAsia"/>
          <w:sz w:val="24"/>
          <w:szCs w:val="24"/>
          <w:lang w:eastAsia="zh-CN"/>
        </w:rPr>
      </w:pPr>
    </w:p>
    <w:p w14:paraId="059415B3">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6</w:t>
      </w:r>
      <w:r>
        <w:rPr>
          <w:rFonts w:hint="eastAsia" w:ascii="宋体" w:hAnsi="宋体" w:cs="宋体"/>
          <w:b/>
          <w:sz w:val="21"/>
          <w:szCs w:val="21"/>
        </w:rPr>
        <w:t xml:space="preserve"> 检测实验室管理与运行课程描述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6AB7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354ECF1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课程名称</w:t>
            </w:r>
          </w:p>
        </w:tc>
        <w:tc>
          <w:tcPr>
            <w:tcW w:w="2040" w:type="dxa"/>
            <w:noWrap w:val="0"/>
            <w:vAlign w:val="center"/>
          </w:tcPr>
          <w:p w14:paraId="6BA9AE4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检测实验室管理与运行</w:t>
            </w:r>
          </w:p>
        </w:tc>
        <w:tc>
          <w:tcPr>
            <w:tcW w:w="1215" w:type="dxa"/>
            <w:noWrap w:val="0"/>
            <w:vAlign w:val="center"/>
          </w:tcPr>
          <w:p w14:paraId="4D5FB79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学分</w:t>
            </w:r>
          </w:p>
        </w:tc>
        <w:tc>
          <w:tcPr>
            <w:tcW w:w="960" w:type="dxa"/>
            <w:noWrap w:val="0"/>
            <w:vAlign w:val="center"/>
          </w:tcPr>
          <w:p w14:paraId="442AE66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2</w:t>
            </w:r>
          </w:p>
        </w:tc>
        <w:tc>
          <w:tcPr>
            <w:tcW w:w="1114" w:type="dxa"/>
            <w:noWrap w:val="0"/>
            <w:vAlign w:val="center"/>
          </w:tcPr>
          <w:p w14:paraId="17CD83D1">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学时数</w:t>
            </w:r>
          </w:p>
        </w:tc>
        <w:tc>
          <w:tcPr>
            <w:tcW w:w="1461" w:type="dxa"/>
            <w:noWrap w:val="0"/>
            <w:vAlign w:val="center"/>
          </w:tcPr>
          <w:p w14:paraId="5F715FE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32</w:t>
            </w:r>
          </w:p>
        </w:tc>
      </w:tr>
      <w:tr w14:paraId="1B61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3BAE6CDE">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课程目标</w:t>
            </w:r>
          </w:p>
        </w:tc>
        <w:tc>
          <w:tcPr>
            <w:tcW w:w="6790" w:type="dxa"/>
            <w:gridSpan w:val="5"/>
            <w:noWrap w:val="0"/>
            <w:vAlign w:val="center"/>
          </w:tcPr>
          <w:p w14:paraId="2B57F4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检验检测实验室安全管理。 </w:t>
            </w:r>
          </w:p>
          <w:p w14:paraId="116449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 检验检测实验室质量控制。 </w:t>
            </w:r>
          </w:p>
          <w:p w14:paraId="2B9BD8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③检验检测实验室信息化质量管理。 </w:t>
            </w:r>
          </w:p>
          <w:p w14:paraId="1157E8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④ 检验检测实验室认证认可</w:t>
            </w:r>
          </w:p>
        </w:tc>
      </w:tr>
      <w:tr w14:paraId="0A74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2684B48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学习内容</w:t>
            </w:r>
          </w:p>
        </w:tc>
        <w:tc>
          <w:tcPr>
            <w:tcW w:w="6790" w:type="dxa"/>
            <w:gridSpan w:val="5"/>
            <w:noWrap w:val="0"/>
            <w:vAlign w:val="center"/>
          </w:tcPr>
          <w:p w14:paraId="1315501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检测和校准实验室能力的通用要求。 </w:t>
            </w:r>
          </w:p>
          <w:p w14:paraId="008569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 实验室 </w:t>
            </w:r>
            <w:r>
              <w:rPr>
                <w:rFonts w:hint="default" w:ascii="Times New Roman" w:hAnsi="Times New Roman" w:eastAsia="宋体" w:cs="Times New Roman"/>
                <w:kern w:val="2"/>
                <w:sz w:val="21"/>
                <w:szCs w:val="24"/>
                <w:lang w:val="en-US" w:eastAsia="zh-CN" w:bidi="ar-SA"/>
              </w:rPr>
              <w:t xml:space="preserve">CMA/CNAS </w:t>
            </w:r>
            <w:r>
              <w:rPr>
                <w:rFonts w:hint="eastAsia" w:ascii="Times New Roman" w:hAnsi="Times New Roman" w:eastAsia="宋体" w:cs="Times New Roman"/>
                <w:kern w:val="2"/>
                <w:sz w:val="21"/>
                <w:szCs w:val="24"/>
                <w:lang w:val="en-US" w:eastAsia="zh-CN" w:bidi="ar-SA"/>
              </w:rPr>
              <w:t xml:space="preserve">质量体系文件编制。 </w:t>
            </w:r>
          </w:p>
          <w:p w14:paraId="4FFEC2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③ 实验室信息化管理软件操作。</w:t>
            </w:r>
          </w:p>
        </w:tc>
      </w:tr>
      <w:tr w14:paraId="40EF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1C5895E">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能力培养</w:t>
            </w:r>
          </w:p>
        </w:tc>
        <w:tc>
          <w:tcPr>
            <w:tcW w:w="6790" w:type="dxa"/>
            <w:gridSpan w:val="5"/>
            <w:noWrap w:val="0"/>
            <w:vAlign w:val="center"/>
          </w:tcPr>
          <w:p w14:paraId="544515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熟悉检验检测实验室管理与运行要求。 </w:t>
            </w:r>
          </w:p>
          <w:p w14:paraId="6EE125B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 能正确执行检验检测实验室管理规范，能排查检验检测实验室安全隐患和正确处置常见安全意外事故，能对检测实验室进行内部质量控制，能编制食品检测相关技术文件。 </w:t>
            </w:r>
          </w:p>
          <w:p w14:paraId="1AF890E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 能应用检测管理与追溯系统实现全过程质量管理、能协助实验室完成认证认可工作等。 </w:t>
            </w:r>
          </w:p>
          <w:p w14:paraId="4D964AC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④ 养成严谨求实、诚实守信、遵纪守法的职业态度，具备安全环保、团结协作等职业素养。</w:t>
            </w:r>
          </w:p>
        </w:tc>
      </w:tr>
      <w:tr w14:paraId="1D8E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91E0EB1">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14:paraId="52B7F88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①</w:t>
            </w:r>
            <w:r>
              <w:rPr>
                <w:rFonts w:hint="default" w:ascii="Times New Roman" w:hAnsi="Times New Roman" w:eastAsia="宋体" w:cs="Times New Roman"/>
                <w:kern w:val="2"/>
                <w:sz w:val="21"/>
                <w:szCs w:val="24"/>
                <w:lang w:val="en-US" w:eastAsia="zh-CN" w:bidi="ar-SA"/>
              </w:rPr>
              <w:t>实验室资质认定（CMA）相关资质</w:t>
            </w:r>
            <w:r>
              <w:rPr>
                <w:rFonts w:hint="eastAsia" w:ascii="Times New Roman" w:hAnsi="Times New Roman" w:eastAsia="宋体" w:cs="Times New Roman"/>
                <w:kern w:val="2"/>
                <w:sz w:val="21"/>
                <w:szCs w:val="24"/>
                <w:lang w:val="en-US" w:eastAsia="zh-CN" w:bidi="ar-SA"/>
              </w:rPr>
              <w:t>。</w:t>
            </w:r>
          </w:p>
          <w:p w14:paraId="5BEF308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②</w:t>
            </w:r>
            <w:r>
              <w:rPr>
                <w:rFonts w:hint="default" w:ascii="Times New Roman" w:hAnsi="Times New Roman" w:eastAsia="宋体" w:cs="Times New Roman"/>
                <w:kern w:val="2"/>
                <w:sz w:val="21"/>
                <w:szCs w:val="24"/>
                <w:lang w:val="en-US" w:eastAsia="zh-CN" w:bidi="ar-SA"/>
              </w:rPr>
              <w:t>实验室认可（CNAS）相关资质</w:t>
            </w:r>
            <w:r>
              <w:rPr>
                <w:rFonts w:hint="eastAsia" w:ascii="Times New Roman" w:hAnsi="Times New Roman" w:eastAsia="宋体" w:cs="Times New Roman"/>
                <w:kern w:val="2"/>
                <w:sz w:val="21"/>
                <w:szCs w:val="24"/>
                <w:lang w:val="en-US" w:eastAsia="zh-CN" w:bidi="ar-SA"/>
              </w:rPr>
              <w:t>。</w:t>
            </w:r>
          </w:p>
          <w:p w14:paraId="2C40CE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 </w:t>
            </w:r>
            <w:r>
              <w:rPr>
                <w:rFonts w:hint="default" w:ascii="Times New Roman" w:hAnsi="Times New Roman" w:eastAsia="宋体" w:cs="Times New Roman"/>
                <w:kern w:val="2"/>
                <w:sz w:val="21"/>
                <w:szCs w:val="24"/>
                <w:lang w:val="en-US" w:eastAsia="zh-CN" w:bidi="ar-SA"/>
              </w:rPr>
              <w:t>职业健康安全相关证书（如注册安全工程师）</w:t>
            </w:r>
            <w:r>
              <w:rPr>
                <w:rFonts w:hint="eastAsia" w:ascii="Times New Roman" w:hAnsi="Times New Roman" w:eastAsia="宋体" w:cs="Times New Roman"/>
                <w:kern w:val="2"/>
                <w:sz w:val="21"/>
                <w:szCs w:val="24"/>
                <w:lang w:val="en-US" w:eastAsia="zh-CN" w:bidi="ar-SA"/>
              </w:rPr>
              <w:t>。</w:t>
            </w:r>
          </w:p>
          <w:p w14:paraId="1F6B7B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④ </w:t>
            </w:r>
            <w:r>
              <w:rPr>
                <w:rFonts w:hint="default" w:ascii="Times New Roman" w:hAnsi="Times New Roman" w:eastAsia="宋体" w:cs="Times New Roman"/>
                <w:kern w:val="2"/>
                <w:sz w:val="21"/>
                <w:szCs w:val="24"/>
                <w:lang w:val="en-US" w:eastAsia="zh-CN" w:bidi="ar-SA"/>
              </w:rPr>
              <w:t>行业专项管理证书（如食品检测实验室管理师、环境检测质控师）</w:t>
            </w:r>
            <w:r>
              <w:rPr>
                <w:rFonts w:hint="eastAsia" w:ascii="Times New Roman" w:hAnsi="Times New Roman" w:eastAsia="宋体" w:cs="Times New Roman"/>
                <w:kern w:val="2"/>
                <w:sz w:val="21"/>
                <w:szCs w:val="24"/>
                <w:lang w:val="en-US" w:eastAsia="zh-CN" w:bidi="ar-SA"/>
              </w:rPr>
              <w:t>。</w:t>
            </w:r>
          </w:p>
        </w:tc>
      </w:tr>
    </w:tbl>
    <w:p w14:paraId="678831EF">
      <w:pPr>
        <w:pageBreakBefore w:val="0"/>
        <w:kinsoku/>
        <w:wordWrap/>
        <w:overflowPunct/>
        <w:topLinePunct w:val="0"/>
        <w:autoSpaceDE/>
        <w:autoSpaceDN/>
        <w:bidi w:val="0"/>
        <w:spacing w:line="360" w:lineRule="auto"/>
        <w:ind w:left="0" w:right="0" w:rightChars="0"/>
        <w:rPr>
          <w:rFonts w:hint="eastAsia"/>
          <w:sz w:val="24"/>
          <w:szCs w:val="24"/>
          <w:lang w:eastAsia="zh-CN"/>
        </w:rPr>
      </w:pPr>
    </w:p>
    <w:p w14:paraId="564249BF">
      <w:pPr>
        <w:pageBreakBefore w:val="0"/>
        <w:kinsoku/>
        <w:wordWrap/>
        <w:overflowPunct/>
        <w:topLinePunct w:val="0"/>
        <w:autoSpaceDE/>
        <w:autoSpaceDN/>
        <w:bidi w:val="0"/>
        <w:spacing w:line="360" w:lineRule="auto"/>
        <w:ind w:left="0" w:right="0" w:rightChars="0"/>
        <w:rPr>
          <w:rFonts w:hint="eastAsia"/>
          <w:sz w:val="24"/>
          <w:szCs w:val="24"/>
          <w:lang w:eastAsia="zh-CN"/>
        </w:rPr>
      </w:pPr>
    </w:p>
    <w:p w14:paraId="02592C9D">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7</w:t>
      </w:r>
      <w:r>
        <w:rPr>
          <w:rFonts w:hint="eastAsia" w:ascii="宋体" w:hAnsi="宋体" w:cs="宋体"/>
          <w:b/>
          <w:sz w:val="21"/>
          <w:szCs w:val="21"/>
        </w:rPr>
        <w:t xml:space="preserve"> 食品质量安全与控制技术课程描述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673E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31D124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课程名称</w:t>
            </w:r>
          </w:p>
        </w:tc>
        <w:tc>
          <w:tcPr>
            <w:tcW w:w="2040" w:type="dxa"/>
            <w:noWrap w:val="0"/>
            <w:vAlign w:val="center"/>
          </w:tcPr>
          <w:p w14:paraId="01E1AB3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食品质量安全与控制技术</w:t>
            </w:r>
          </w:p>
        </w:tc>
        <w:tc>
          <w:tcPr>
            <w:tcW w:w="1215" w:type="dxa"/>
            <w:noWrap w:val="0"/>
            <w:vAlign w:val="center"/>
          </w:tcPr>
          <w:p w14:paraId="489C4212">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学分</w:t>
            </w:r>
          </w:p>
        </w:tc>
        <w:tc>
          <w:tcPr>
            <w:tcW w:w="960" w:type="dxa"/>
            <w:noWrap w:val="0"/>
            <w:vAlign w:val="center"/>
          </w:tcPr>
          <w:p w14:paraId="76A3287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2</w:t>
            </w:r>
          </w:p>
        </w:tc>
        <w:tc>
          <w:tcPr>
            <w:tcW w:w="1114" w:type="dxa"/>
            <w:noWrap w:val="0"/>
            <w:vAlign w:val="center"/>
          </w:tcPr>
          <w:p w14:paraId="6D1F0FD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学时数</w:t>
            </w:r>
          </w:p>
        </w:tc>
        <w:tc>
          <w:tcPr>
            <w:tcW w:w="1461" w:type="dxa"/>
            <w:noWrap w:val="0"/>
            <w:vAlign w:val="center"/>
          </w:tcPr>
          <w:p w14:paraId="717C14E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32</w:t>
            </w:r>
          </w:p>
        </w:tc>
      </w:tr>
      <w:tr w14:paraId="1383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75FA35EE">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课程目标</w:t>
            </w:r>
          </w:p>
        </w:tc>
        <w:tc>
          <w:tcPr>
            <w:tcW w:w="6790" w:type="dxa"/>
            <w:gridSpan w:val="5"/>
            <w:noWrap w:val="0"/>
            <w:vAlign w:val="center"/>
          </w:tcPr>
          <w:p w14:paraId="78C339A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编制、实施质量管理规划。 </w:t>
            </w:r>
          </w:p>
          <w:p w14:paraId="314D7E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② 实施食品质量控制和改进。</w:t>
            </w:r>
          </w:p>
        </w:tc>
      </w:tr>
      <w:tr w14:paraId="12ED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776DAC0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学习内容</w:t>
            </w:r>
          </w:p>
        </w:tc>
        <w:tc>
          <w:tcPr>
            <w:tcW w:w="6790" w:type="dxa"/>
            <w:gridSpan w:val="5"/>
            <w:noWrap w:val="0"/>
            <w:vAlign w:val="center"/>
          </w:tcPr>
          <w:p w14:paraId="34A10CD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食品加工安全风险分析。 </w:t>
            </w:r>
          </w:p>
          <w:p w14:paraId="189FC4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 食品质量管理体系。 </w:t>
            </w:r>
          </w:p>
          <w:p w14:paraId="7D9B0B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③ 质量管理工具。 </w:t>
            </w:r>
          </w:p>
          <w:p w14:paraId="09AEC38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④ 质量管理体系文件编写。 </w:t>
            </w:r>
          </w:p>
          <w:p w14:paraId="5DB547E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⑤ 质量计划制定和实施。 </w:t>
            </w:r>
          </w:p>
          <w:p w14:paraId="498139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⑥ 食品现场质量管理。</w:t>
            </w:r>
          </w:p>
        </w:tc>
      </w:tr>
      <w:tr w14:paraId="6116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225212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能力培养</w:t>
            </w:r>
          </w:p>
        </w:tc>
        <w:tc>
          <w:tcPr>
            <w:tcW w:w="6790" w:type="dxa"/>
            <w:gridSpan w:val="5"/>
            <w:noWrap w:val="0"/>
            <w:vAlign w:val="center"/>
          </w:tcPr>
          <w:p w14:paraId="6C1E46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① 熟悉食品安全风险因素和质量控制依据，掌握食品质量优化、质量管理规划编写、质量管理七工具和 </w:t>
            </w:r>
            <w:r>
              <w:rPr>
                <w:rFonts w:hint="default" w:ascii="Times New Roman" w:hAnsi="Times New Roman" w:eastAsia="宋体" w:cs="Times New Roman"/>
                <w:kern w:val="2"/>
                <w:sz w:val="21"/>
                <w:szCs w:val="24"/>
                <w:lang w:val="en-US" w:eastAsia="zh-CN" w:bidi="ar-SA"/>
              </w:rPr>
              <w:t>5S</w:t>
            </w:r>
            <w:r>
              <w:rPr>
                <w:rFonts w:hint="eastAsia" w:ascii="Times New Roman" w:hAnsi="Times New Roman" w:eastAsia="宋体" w:cs="Times New Roman"/>
                <w:kern w:val="2"/>
                <w:sz w:val="21"/>
                <w:szCs w:val="24"/>
                <w:lang w:val="en-US" w:eastAsia="zh-CN" w:bidi="ar-SA"/>
              </w:rPr>
              <w:t xml:space="preserve">管理。 </w:t>
            </w:r>
          </w:p>
          <w:p w14:paraId="0B9078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② 能够正确理解并执行 </w:t>
            </w:r>
            <w:r>
              <w:rPr>
                <w:rFonts w:hint="default" w:ascii="Times New Roman" w:hAnsi="Times New Roman" w:eastAsia="宋体" w:cs="Times New Roman"/>
                <w:kern w:val="2"/>
                <w:sz w:val="21"/>
                <w:szCs w:val="24"/>
                <w:lang w:val="en-US" w:eastAsia="zh-CN" w:bidi="ar-SA"/>
              </w:rPr>
              <w:t>GMP</w:t>
            </w:r>
            <w:r>
              <w:rPr>
                <w:rFonts w:hint="eastAsia" w:ascii="Times New Roman" w:hAnsi="Times New Roman" w:eastAsia="宋体" w:cs="Times New Roman"/>
                <w:kern w:val="2"/>
                <w:sz w:val="21"/>
                <w:szCs w:val="24"/>
                <w:lang w:val="en-US" w:eastAsia="zh-CN" w:bidi="ar-SA"/>
              </w:rPr>
              <w:t>、</w:t>
            </w:r>
            <w:r>
              <w:rPr>
                <w:rFonts w:hint="default" w:ascii="Times New Roman" w:hAnsi="Times New Roman" w:eastAsia="宋体" w:cs="Times New Roman"/>
                <w:kern w:val="2"/>
                <w:sz w:val="21"/>
                <w:szCs w:val="24"/>
                <w:lang w:val="en-US" w:eastAsia="zh-CN" w:bidi="ar-SA"/>
              </w:rPr>
              <w:t>SSOP</w:t>
            </w:r>
            <w:r>
              <w:rPr>
                <w:rFonts w:hint="eastAsia" w:ascii="Times New Roman" w:hAnsi="Times New Roman" w:eastAsia="宋体" w:cs="Times New Roman"/>
                <w:kern w:val="2"/>
                <w:sz w:val="21"/>
                <w:szCs w:val="24"/>
                <w:lang w:val="en-US" w:eastAsia="zh-CN" w:bidi="ar-SA"/>
              </w:rPr>
              <w:t>、</w:t>
            </w:r>
            <w:r>
              <w:rPr>
                <w:rFonts w:hint="default" w:ascii="Times New Roman" w:hAnsi="Times New Roman" w:eastAsia="宋体" w:cs="Times New Roman"/>
                <w:kern w:val="2"/>
                <w:sz w:val="21"/>
                <w:szCs w:val="24"/>
                <w:lang w:val="en-US" w:eastAsia="zh-CN" w:bidi="ar-SA"/>
              </w:rPr>
              <w:t xml:space="preserve">HACCP </w:t>
            </w:r>
            <w:r>
              <w:rPr>
                <w:rFonts w:hint="eastAsia" w:ascii="Times New Roman" w:hAnsi="Times New Roman" w:eastAsia="宋体" w:cs="Times New Roman"/>
                <w:kern w:val="2"/>
                <w:sz w:val="21"/>
                <w:szCs w:val="24"/>
                <w:lang w:val="en-US" w:eastAsia="zh-CN" w:bidi="ar-SA"/>
              </w:rPr>
              <w:t xml:space="preserve">等食品企业生产和管理规范，能按照企业标准或规范执行食品加工现场品控管理。 </w:t>
            </w:r>
          </w:p>
          <w:p w14:paraId="02DE926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③ 养成高度的质量责任安全意识，具备遵纪守法、 认真负责、严谨求实、吃苦耐劳和团结协作的职业素养</w:t>
            </w:r>
          </w:p>
        </w:tc>
      </w:tr>
      <w:tr w14:paraId="4A63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74D5DF03">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14:paraId="5DD9A0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① 食品安全管理师（国家职业资格认证）。</w:t>
            </w:r>
          </w:p>
          <w:p w14:paraId="1212BB2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② HACCP体系内审员证书。</w:t>
            </w:r>
          </w:p>
          <w:p w14:paraId="12C4DB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③ 食品检验工（中级/高级）。</w:t>
            </w:r>
          </w:p>
          <w:p w14:paraId="473F28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④ ISO 22000食品安全管理体系内审员证书。</w:t>
            </w:r>
          </w:p>
        </w:tc>
      </w:tr>
    </w:tbl>
    <w:p w14:paraId="7341D15F">
      <w:pPr>
        <w:pageBreakBefore w:val="0"/>
        <w:numPr>
          <w:ilvl w:val="0"/>
          <w:numId w:val="0"/>
        </w:numPr>
        <w:kinsoku/>
        <w:wordWrap/>
        <w:overflowPunct/>
        <w:topLinePunct w:val="0"/>
        <w:autoSpaceDE/>
        <w:autoSpaceDN/>
        <w:bidi w:val="0"/>
        <w:spacing w:line="360" w:lineRule="auto"/>
        <w:ind w:left="0" w:right="0" w:rightChars="0"/>
        <w:rPr>
          <w:rFonts w:hint="eastAsia"/>
        </w:rPr>
      </w:pPr>
    </w:p>
    <w:p w14:paraId="611213C3">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55" w:name="_Toc126321783"/>
      <w:bookmarkStart w:id="56" w:name="_Toc29364"/>
      <w:bookmarkStart w:id="57" w:name="_Toc20132"/>
      <w:r>
        <w:rPr>
          <w:rFonts w:hint="eastAsia" w:asciiTheme="minorEastAsia" w:hAnsiTheme="minorEastAsia" w:eastAsiaTheme="minorEastAsia" w:cstheme="minorEastAsia"/>
          <w:sz w:val="28"/>
          <w:szCs w:val="28"/>
          <w:lang w:val="en-US" w:eastAsia="zh-CN"/>
        </w:rPr>
        <w:t>（六）素质拓展课程</w:t>
      </w:r>
      <w:bookmarkEnd w:id="55"/>
      <w:bookmarkEnd w:id="56"/>
      <w:bookmarkEnd w:id="57"/>
    </w:p>
    <w:p w14:paraId="2F8C40A6">
      <w:pPr>
        <w:pageBreakBefore w:val="0"/>
        <w:kinsoku/>
        <w:wordWrap/>
        <w:overflowPunct/>
        <w:topLinePunct w:val="0"/>
        <w:autoSpaceDE/>
        <w:autoSpaceDN/>
        <w:bidi w:val="0"/>
        <w:spacing w:line="360" w:lineRule="auto"/>
        <w:ind w:left="0" w:right="0" w:rightChars="0"/>
        <w:rPr>
          <w:rFonts w:hint="eastAsia"/>
          <w:sz w:val="24"/>
          <w:szCs w:val="24"/>
          <w:lang w:val="en-US" w:eastAsia="zh-CN"/>
        </w:rPr>
      </w:pPr>
      <w:r>
        <w:rPr>
          <w:rFonts w:hint="eastAsia"/>
          <w:sz w:val="24"/>
          <w:szCs w:val="24"/>
          <w:lang w:eastAsia="zh-CN"/>
        </w:rPr>
        <w:t>素质拓展课程要求至少完成4学分，64学时。素质拓展课程包括综合素质拓展课程和第二课堂活动课程。依据人才培养需要，参照学生工作处（武装部、团委）《“第二课堂成绩单”制度实施办法（试行）》执行。</w:t>
      </w:r>
    </w:p>
    <w:p w14:paraId="46A6C0A6">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16"/>
        </w:rPr>
      </w:pPr>
      <w:r>
        <w:rPr>
          <w:rFonts w:hint="eastAsia" w:ascii="宋体" w:hAnsi="宋体" w:cs="宋体"/>
          <w:b/>
          <w:sz w:val="21"/>
          <w:szCs w:val="16"/>
        </w:rPr>
        <w:t>表</w:t>
      </w:r>
      <w:r>
        <w:rPr>
          <w:rFonts w:hint="eastAsia" w:ascii="宋体" w:hAnsi="宋体" w:cs="宋体"/>
          <w:b/>
          <w:sz w:val="21"/>
          <w:szCs w:val="16"/>
          <w:lang w:val="en-US" w:eastAsia="zh-CN"/>
        </w:rPr>
        <w:t>7</w:t>
      </w:r>
      <w:r>
        <w:rPr>
          <w:rFonts w:hint="eastAsia" w:ascii="宋体" w:hAnsi="宋体" w:cs="宋体"/>
          <w:b/>
          <w:sz w:val="21"/>
          <w:szCs w:val="16"/>
        </w:rPr>
        <w:t>-</w:t>
      </w:r>
      <w:r>
        <w:rPr>
          <w:rFonts w:hint="eastAsia" w:ascii="宋体" w:hAnsi="宋体" w:cs="宋体"/>
          <w:b/>
          <w:sz w:val="21"/>
          <w:szCs w:val="16"/>
          <w:lang w:val="en-US" w:eastAsia="zh-CN"/>
        </w:rPr>
        <w:t>7</w:t>
      </w:r>
      <w:r>
        <w:rPr>
          <w:rFonts w:hint="eastAsia" w:ascii="宋体" w:hAnsi="宋体" w:cs="宋体"/>
          <w:b/>
          <w:sz w:val="21"/>
          <w:szCs w:val="16"/>
        </w:rPr>
        <w:t xml:space="preserve">  素质拓展课程一览表</w:t>
      </w:r>
    </w:p>
    <w:tbl>
      <w:tblPr>
        <w:tblStyle w:val="27"/>
        <w:tblW w:w="8664"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2017"/>
        <w:gridCol w:w="669"/>
        <w:gridCol w:w="842"/>
        <w:gridCol w:w="2822"/>
        <w:gridCol w:w="1665"/>
      </w:tblGrid>
      <w:tr w14:paraId="52E4A71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000000" w:sz="4" w:space="0"/>
              <w:right w:val="single" w:color="000000" w:sz="4" w:space="0"/>
            </w:tcBorders>
            <w:shd w:val="clear" w:color="auto" w:fill="B8CCE4" w:themeFill="accent1" w:themeFillTint="66"/>
            <w:noWrap w:val="0"/>
            <w:vAlign w:val="center"/>
          </w:tcPr>
          <w:p w14:paraId="470EBA3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序号</w:t>
            </w:r>
          </w:p>
        </w:tc>
        <w:tc>
          <w:tcPr>
            <w:tcW w:w="2017" w:type="dxa"/>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2C51503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课程名称</w:t>
            </w:r>
          </w:p>
        </w:tc>
        <w:tc>
          <w:tcPr>
            <w:tcW w:w="669" w:type="dxa"/>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3B3900A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学时</w:t>
            </w:r>
          </w:p>
        </w:tc>
        <w:tc>
          <w:tcPr>
            <w:tcW w:w="842"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502BA39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学分</w:t>
            </w:r>
          </w:p>
        </w:tc>
        <w:tc>
          <w:tcPr>
            <w:tcW w:w="2822"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075D787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lang w:val="en-US" w:eastAsia="zh-CN"/>
              </w:rPr>
            </w:pPr>
            <w:r>
              <w:rPr>
                <w:rFonts w:hint="eastAsia" w:asciiTheme="minorEastAsia" w:hAnsiTheme="minorEastAsia" w:eastAsiaTheme="minorEastAsia" w:cstheme="minorEastAsia"/>
                <w:b/>
                <w:color w:val="auto"/>
                <w:sz w:val="21"/>
                <w:szCs w:val="21"/>
                <w:highlight w:val="none"/>
                <w:shd w:val="clear" w:color="auto" w:fill="auto"/>
                <w:lang w:val="en-US" w:eastAsia="zh-CN"/>
              </w:rPr>
              <w:t>统筹部门</w:t>
            </w:r>
          </w:p>
        </w:tc>
        <w:tc>
          <w:tcPr>
            <w:tcW w:w="1665"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3F47C0F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lang w:val="en-US" w:eastAsia="zh-CN"/>
              </w:rPr>
            </w:pPr>
            <w:r>
              <w:rPr>
                <w:rFonts w:hint="eastAsia" w:asciiTheme="minorEastAsia" w:hAnsiTheme="minorEastAsia" w:eastAsiaTheme="minorEastAsia" w:cstheme="minorEastAsia"/>
                <w:b/>
                <w:color w:val="auto"/>
                <w:sz w:val="21"/>
                <w:szCs w:val="21"/>
                <w:highlight w:val="none"/>
                <w:shd w:val="clear" w:color="auto" w:fill="auto"/>
                <w:lang w:val="en-US" w:eastAsia="zh-CN"/>
              </w:rPr>
              <w:t>拟开设学期</w:t>
            </w:r>
          </w:p>
        </w:tc>
      </w:tr>
      <w:tr w14:paraId="0BCE224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2FD56D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365F0D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入学教育</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0F2D3DF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02AF731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54F481C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101894E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第一学期</w:t>
            </w:r>
          </w:p>
        </w:tc>
      </w:tr>
      <w:tr w14:paraId="354BF77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3380DB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41EE98D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思想成长</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7DAEDB9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2C03B3F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7713750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0CDEC44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第一学期</w:t>
            </w:r>
          </w:p>
        </w:tc>
      </w:tr>
      <w:tr w14:paraId="336D255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1AC70D7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6CBF990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社会实践、志愿公益</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19B6744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32</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105EC1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32FC5A4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1F7F08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58EB4CC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062832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5001ED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文体社团活动</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6B10B91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172294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04559C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3B30B18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5B348BD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02BA939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7C07FB5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技能特长</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4FEA931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53E5329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0D2A9A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68B34F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6BC9CB5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39181E6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0CEF3DB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学生工作履历</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09527E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439711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5C0936B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04BB059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5431146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7468A36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0762E0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创新创业</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28DC7F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48649E2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474C80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1F35DB0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4561F1A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2CE2A8E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3D7769F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特色模块</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15E4B87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4C4539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6ACB185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49066AA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2F07512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FB4CEB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52F9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健康教育</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1B6E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E4E0A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BF90B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总务处（基建处）</w:t>
            </w:r>
          </w:p>
        </w:tc>
        <w:tc>
          <w:tcPr>
            <w:tcW w:w="166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02B88D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bl>
    <w:p w14:paraId="6BF1F15C">
      <w:pPr>
        <w:pageBreakBefore w:val="0"/>
        <w:kinsoku/>
        <w:wordWrap/>
        <w:overflowPunct/>
        <w:topLinePunct w:val="0"/>
        <w:autoSpaceDE/>
        <w:autoSpaceDN/>
        <w:bidi w:val="0"/>
        <w:adjustRightInd w:val="0"/>
        <w:snapToGrid w:val="0"/>
        <w:spacing w:line="360" w:lineRule="auto"/>
        <w:ind w:left="0" w:leftChars="0" w:right="0" w:rightChars="0" w:firstLine="0" w:firstLineChars="0"/>
        <w:rPr>
          <w:b/>
          <w:color w:val="000000"/>
          <w:sz w:val="30"/>
          <w:szCs w:val="30"/>
        </w:rPr>
      </w:pPr>
    </w:p>
    <w:p w14:paraId="020C8767">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58" w:name="_Toc21658"/>
      <w:bookmarkStart w:id="59" w:name="_Toc9604"/>
      <w:r>
        <w:rPr>
          <w:rFonts w:hint="eastAsia" w:asciiTheme="majorEastAsia" w:hAnsiTheme="majorEastAsia" w:eastAsiaTheme="majorEastAsia" w:cstheme="majorEastAsia"/>
          <w:b/>
          <w:bCs/>
          <w:sz w:val="30"/>
          <w:szCs w:val="30"/>
          <w:lang w:val="en-US" w:eastAsia="zh-CN"/>
        </w:rPr>
        <w:t>八、学时安排</w:t>
      </w:r>
      <w:bookmarkEnd w:id="58"/>
      <w:bookmarkEnd w:id="59"/>
    </w:p>
    <w:p w14:paraId="4C136724">
      <w:pPr>
        <w:pageBreakBefore w:val="0"/>
        <w:kinsoku/>
        <w:wordWrap/>
        <w:overflowPunct/>
        <w:topLinePunct w:val="0"/>
        <w:autoSpaceDE/>
        <w:autoSpaceDN/>
        <w:bidi w:val="0"/>
        <w:adjustRightInd w:val="0"/>
        <w:snapToGrid w:val="0"/>
        <w:spacing w:line="360" w:lineRule="auto"/>
        <w:ind w:left="0" w:right="0" w:rightChars="0" w:firstLine="480" w:firstLineChars="200"/>
        <w:rPr>
          <w:rFonts w:ascii="Times New Roman" w:hAnsi="Times New Roman"/>
          <w:color w:val="000000"/>
          <w:sz w:val="24"/>
        </w:rPr>
      </w:pPr>
      <w:r>
        <w:rPr>
          <w:rFonts w:ascii="Times New Roman" w:hAnsi="Times New Roman"/>
          <w:color w:val="000000"/>
          <w:sz w:val="24"/>
        </w:rPr>
        <w:t>每学年教学时间40周，课内学时一般按每周20-24学时计算，岗位实习按每周30学时计算。每学时不少于45分钟。</w:t>
      </w:r>
    </w:p>
    <w:p w14:paraId="50F2AC20">
      <w:pPr>
        <w:pageBreakBefore w:val="0"/>
        <w:kinsoku/>
        <w:wordWrap/>
        <w:overflowPunct/>
        <w:topLinePunct w:val="0"/>
        <w:autoSpaceDE/>
        <w:autoSpaceDN/>
        <w:bidi w:val="0"/>
        <w:adjustRightInd w:val="0"/>
        <w:snapToGrid w:val="0"/>
        <w:spacing w:line="360" w:lineRule="auto"/>
        <w:ind w:left="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食品检验检测技术</w:t>
      </w:r>
      <w:r>
        <w:rPr>
          <w:rFonts w:hint="eastAsia" w:asciiTheme="minorEastAsia" w:hAnsiTheme="minorEastAsia" w:eastAsiaTheme="minorEastAsia" w:cstheme="minorEastAsia"/>
          <w:color w:val="000000"/>
          <w:kern w:val="0"/>
          <w:sz w:val="24"/>
          <w:szCs w:val="24"/>
          <w:lang w:val="en-US" w:eastAsia="zh-CN" w:bidi="ar"/>
        </w:rPr>
        <w:t>专业总学分为142学分，总学时数为2698学时，其中公共基础课程</w:t>
      </w:r>
      <w:r>
        <w:rPr>
          <w:rFonts w:hint="eastAsia" w:asciiTheme="minorEastAsia" w:hAnsiTheme="minorEastAsia" w:eastAsiaTheme="minorEastAsia" w:cstheme="minorEastAsia"/>
          <w:color w:val="000000"/>
          <w:kern w:val="0"/>
          <w:sz w:val="24"/>
          <w:szCs w:val="24"/>
          <w:highlight w:val="none"/>
          <w:lang w:val="en-US" w:eastAsia="zh-CN" w:bidi="ar"/>
        </w:rPr>
        <w:t>47</w:t>
      </w:r>
      <w:r>
        <w:rPr>
          <w:rFonts w:hint="eastAsia" w:asciiTheme="minorEastAsia" w:hAnsiTheme="minorEastAsia" w:eastAsiaTheme="minorEastAsia" w:cstheme="minorEastAsia"/>
          <w:color w:val="000000"/>
          <w:kern w:val="0"/>
          <w:sz w:val="24"/>
          <w:szCs w:val="24"/>
          <w:lang w:val="en-US" w:eastAsia="zh-CN" w:bidi="ar"/>
        </w:rPr>
        <w:t>学分，占总学分的33.1%；专业（技能）课程91学分，占总学分的64.1%；实践性教学学时占总学时的56.2%。</w:t>
      </w:r>
    </w:p>
    <w:p w14:paraId="03A8BABF">
      <w:pPr>
        <w:rPr>
          <w:rFonts w:hint="eastAsia"/>
          <w:b w:val="0"/>
        </w:rPr>
      </w:pPr>
      <w:bookmarkStart w:id="60" w:name="_Toc5597"/>
      <w:r>
        <w:rPr>
          <w:rFonts w:hint="eastAsia"/>
          <w:b w:val="0"/>
        </w:rPr>
        <w:br w:type="page"/>
      </w:r>
    </w:p>
    <w:p w14:paraId="3E90432D">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61" w:name="_Toc1125"/>
      <w:r>
        <w:rPr>
          <w:rFonts w:hint="eastAsia" w:asciiTheme="majorEastAsia" w:hAnsiTheme="majorEastAsia" w:eastAsiaTheme="majorEastAsia" w:cstheme="majorEastAsia"/>
          <w:b/>
          <w:bCs/>
          <w:sz w:val="30"/>
          <w:szCs w:val="30"/>
          <w:lang w:val="en-US" w:eastAsia="zh-CN"/>
        </w:rPr>
        <w:t>九、教学进程总体安排</w:t>
      </w:r>
      <w:bookmarkEnd w:id="60"/>
      <w:bookmarkEnd w:id="61"/>
    </w:p>
    <w:p w14:paraId="5F6525FB">
      <w:pPr>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实行三学年六学期制。探索实行“2+0.5+0.5”三段式学制人才培养模式。前两年四个学期，以人文素养课程、专业基础课程、专业核心课程为主，同时开展专业认知，专业基本技能训练；第五学期实行工学交替，校企协同培养，以开展专项实训、综合实训、企业项目化实训为主，重在学生综合技能训练提升，为岗位实习做好衔接；第六学期安排岗位实习。</w:t>
      </w:r>
    </w:p>
    <w:p w14:paraId="587A6A40">
      <w:pPr>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每学期教学周数20周，三年共120周。</w:t>
      </w:r>
    </w:p>
    <w:p w14:paraId="32B25840">
      <w:pPr>
        <w:pageBreakBefore w:val="0"/>
        <w:kinsoku/>
        <w:wordWrap/>
        <w:overflowPunct/>
        <w:topLinePunct w:val="0"/>
        <w:autoSpaceDE/>
        <w:autoSpaceDN/>
        <w:bidi w:val="0"/>
        <w:spacing w:line="360" w:lineRule="auto"/>
        <w:ind w:left="0" w:right="0" w:rightChars="0" w:firstLine="422" w:firstLineChars="200"/>
        <w:jc w:val="center"/>
        <w:outlineLvl w:val="2"/>
        <w:rPr>
          <w:rFonts w:hint="eastAsia" w:ascii="宋体" w:hAnsi="宋体" w:cs="宋体"/>
          <w:b/>
          <w:sz w:val="21"/>
          <w:szCs w:val="21"/>
        </w:rPr>
      </w:pPr>
      <w:r>
        <w:rPr>
          <w:rFonts w:hint="eastAsia" w:ascii="宋体" w:hAnsi="宋体" w:cs="宋体"/>
          <w:b/>
          <w:sz w:val="21"/>
          <w:szCs w:val="21"/>
          <w:lang w:val="en-US" w:eastAsia="zh-CN"/>
        </w:rPr>
        <w:t xml:space="preserve">表9-1 </w:t>
      </w:r>
      <w:r>
        <w:rPr>
          <w:rFonts w:hint="eastAsia" w:ascii="宋体" w:hAnsi="宋体" w:cs="宋体"/>
          <w:b/>
          <w:sz w:val="21"/>
          <w:szCs w:val="21"/>
        </w:rPr>
        <w:t>202</w:t>
      </w:r>
      <w:r>
        <w:rPr>
          <w:rFonts w:hint="eastAsia" w:ascii="宋体" w:hAnsi="宋体" w:cs="宋体"/>
          <w:b/>
          <w:sz w:val="21"/>
          <w:szCs w:val="21"/>
          <w:lang w:val="en-US" w:eastAsia="zh-CN"/>
        </w:rPr>
        <w:t>5</w:t>
      </w:r>
      <w:r>
        <w:rPr>
          <w:rFonts w:hint="eastAsia" w:ascii="宋体" w:hAnsi="宋体" w:cs="宋体"/>
          <w:b/>
          <w:sz w:val="21"/>
          <w:szCs w:val="21"/>
        </w:rPr>
        <w:t>级</w:t>
      </w:r>
      <w:r>
        <w:rPr>
          <w:rFonts w:hint="eastAsia" w:ascii="宋体" w:hAnsi="宋体" w:cs="宋体"/>
          <w:b/>
          <w:sz w:val="21"/>
          <w:szCs w:val="21"/>
          <w:lang w:val="en-US" w:eastAsia="zh-CN"/>
        </w:rPr>
        <w:t>食品检验检测技术</w:t>
      </w:r>
      <w:r>
        <w:rPr>
          <w:rFonts w:hint="eastAsia" w:ascii="宋体" w:hAnsi="宋体" w:cs="宋体"/>
          <w:b/>
          <w:sz w:val="21"/>
          <w:szCs w:val="21"/>
        </w:rPr>
        <w:t>专业教学进程表</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02"/>
        <w:gridCol w:w="886"/>
        <w:gridCol w:w="392"/>
        <w:gridCol w:w="399"/>
        <w:gridCol w:w="450"/>
        <w:gridCol w:w="278"/>
        <w:gridCol w:w="350"/>
        <w:gridCol w:w="280"/>
        <w:gridCol w:w="336"/>
        <w:gridCol w:w="280"/>
        <w:gridCol w:w="322"/>
        <w:gridCol w:w="308"/>
        <w:gridCol w:w="378"/>
        <w:gridCol w:w="364"/>
        <w:gridCol w:w="336"/>
        <w:gridCol w:w="294"/>
        <w:gridCol w:w="377"/>
        <w:gridCol w:w="350"/>
        <w:gridCol w:w="351"/>
        <w:gridCol w:w="383"/>
        <w:gridCol w:w="463"/>
        <w:gridCol w:w="792"/>
      </w:tblGrid>
      <w:tr w14:paraId="4E64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DBED2C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学年</w:t>
            </w:r>
          </w:p>
        </w:tc>
        <w:tc>
          <w:tcPr>
            <w:tcW w:w="88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14F410E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学期</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88061C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教学周</w:t>
            </w:r>
          </w:p>
        </w:tc>
      </w:tr>
      <w:tr w14:paraId="396F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B1761E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p>
        </w:tc>
        <w:tc>
          <w:tcPr>
            <w:tcW w:w="8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E9E963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p>
        </w:tc>
        <w:tc>
          <w:tcPr>
            <w:tcW w:w="3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8150FF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w:t>
            </w:r>
          </w:p>
        </w:tc>
        <w:tc>
          <w:tcPr>
            <w:tcW w:w="399"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1D8484F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2</w:t>
            </w:r>
          </w:p>
        </w:tc>
        <w:tc>
          <w:tcPr>
            <w:tcW w:w="4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7ABFAD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3</w:t>
            </w:r>
          </w:p>
        </w:tc>
        <w:tc>
          <w:tcPr>
            <w:tcW w:w="2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69D686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4</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10D25F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5</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F1C309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6</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E82FE5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7</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587CA25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8</w:t>
            </w:r>
          </w:p>
        </w:tc>
        <w:tc>
          <w:tcPr>
            <w:tcW w:w="32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114DCD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9</w:t>
            </w:r>
          </w:p>
        </w:tc>
        <w:tc>
          <w:tcPr>
            <w:tcW w:w="30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301DB66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10</w:t>
            </w:r>
          </w:p>
        </w:tc>
        <w:tc>
          <w:tcPr>
            <w:tcW w:w="3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184EDA6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11</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49CEC7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12</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B7FF31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13</w:t>
            </w:r>
          </w:p>
        </w:tc>
        <w:tc>
          <w:tcPr>
            <w:tcW w:w="29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5C72194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14</w:t>
            </w:r>
          </w:p>
        </w:tc>
        <w:tc>
          <w:tcPr>
            <w:tcW w:w="377"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3F61610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15</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3E86FF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16</w:t>
            </w:r>
          </w:p>
        </w:tc>
        <w:tc>
          <w:tcPr>
            <w:tcW w:w="351"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59AD41C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17</w:t>
            </w:r>
          </w:p>
        </w:tc>
        <w:tc>
          <w:tcPr>
            <w:tcW w:w="38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64D2E5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18</w:t>
            </w:r>
          </w:p>
        </w:tc>
        <w:tc>
          <w:tcPr>
            <w:tcW w:w="46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C35508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19</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7C2371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20</w:t>
            </w:r>
          </w:p>
        </w:tc>
      </w:tr>
      <w:tr w14:paraId="5581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1B33583">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F3CF73">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124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F77D67A">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入学教育</w:t>
            </w:r>
          </w:p>
          <w:p w14:paraId="72A39FDA">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军事技能</w:t>
            </w:r>
          </w:p>
        </w:tc>
        <w:tc>
          <w:tcPr>
            <w:tcW w:w="5450" w:type="dxa"/>
            <w:gridSpan w:val="16"/>
            <w:tcBorders>
              <w:top w:val="single" w:color="auto" w:sz="4" w:space="0"/>
              <w:left w:val="single" w:color="auto" w:sz="4" w:space="0"/>
              <w:bottom w:val="single" w:color="auto" w:sz="4" w:space="0"/>
              <w:right w:val="single" w:color="auto" w:sz="4" w:space="0"/>
              <w:tl2br w:val="nil"/>
              <w:tr2bl w:val="nil"/>
            </w:tcBorders>
            <w:noWrap w:val="0"/>
            <w:vAlign w:val="center"/>
          </w:tcPr>
          <w:p w14:paraId="65209464">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1A9996">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110F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3F9E34">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5338A0">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2B2DAD09">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C20CCC">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7716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2601110">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二</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A3F444">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5D3FBDED">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09138">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4886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B9E633">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C89FD8">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4B121F9B">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F5247E">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30D9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7A19BF9">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三</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A9929A">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44FDEC9A">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default" w:asciiTheme="minorEastAsia" w:hAnsiTheme="minorEastAsia" w:eastAsiaTheme="minorEastAsia" w:cstheme="minorEastAsia"/>
                <w:color w:val="auto"/>
                <w:kern w:val="0"/>
                <w:sz w:val="21"/>
                <w:szCs w:val="24"/>
                <w:lang w:val="en-US" w:eastAsia="zh-CN"/>
              </w:rPr>
            </w:pPr>
            <w:r>
              <w:rPr>
                <w:rFonts w:hint="eastAsia" w:asciiTheme="minorEastAsia" w:hAnsiTheme="minorEastAsia" w:eastAsiaTheme="minorEastAsia" w:cstheme="minorEastAsia"/>
                <w:color w:val="auto"/>
                <w:kern w:val="0"/>
                <w:sz w:val="21"/>
                <w:szCs w:val="24"/>
              </w:rPr>
              <w:t>工学交替、校企协同培养</w:t>
            </w:r>
            <w:r>
              <w:rPr>
                <w:rFonts w:hint="eastAsia" w:asciiTheme="minorEastAsia" w:hAnsiTheme="minorEastAsia" w:eastAsiaTheme="minorEastAsia" w:cstheme="minorEastAsia"/>
                <w:color w:val="auto"/>
                <w:kern w:val="0"/>
                <w:sz w:val="21"/>
                <w:szCs w:val="24"/>
                <w:lang w:eastAsia="zh-CN"/>
              </w:rPr>
              <w:t>、</w:t>
            </w:r>
            <w:r>
              <w:rPr>
                <w:rFonts w:hint="eastAsia" w:asciiTheme="minorEastAsia" w:hAnsiTheme="minorEastAsia" w:eastAsiaTheme="minorEastAsia" w:cstheme="minorEastAsia"/>
                <w:color w:val="auto"/>
                <w:kern w:val="0"/>
                <w:sz w:val="21"/>
                <w:szCs w:val="24"/>
                <w:lang w:val="en-US" w:eastAsia="zh-CN"/>
              </w:rPr>
              <w:t>综合实训</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81AA9">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49D9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42A40E">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7A68E8">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noWrap w:val="0"/>
            <w:vAlign w:val="center"/>
          </w:tcPr>
          <w:p w14:paraId="68784A69">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岗位实习、毕业设计（论文）</w:t>
            </w:r>
          </w:p>
        </w:tc>
      </w:tr>
    </w:tbl>
    <w:p w14:paraId="4591EDD3">
      <w:pPr>
        <w:pageBreakBefore w:val="0"/>
        <w:kinsoku/>
        <w:wordWrap/>
        <w:overflowPunct/>
        <w:topLinePunct w:val="0"/>
        <w:autoSpaceDE/>
        <w:autoSpaceDN/>
        <w:bidi w:val="0"/>
        <w:spacing w:line="360" w:lineRule="auto"/>
        <w:ind w:left="0" w:leftChars="0" w:right="0" w:rightChars="0" w:firstLine="0" w:firstLineChars="0"/>
        <w:jc w:val="center"/>
        <w:rPr>
          <w:rFonts w:hint="eastAsia" w:asciiTheme="minorEastAsia" w:hAnsiTheme="minorEastAsia" w:eastAsiaTheme="minorEastAsia" w:cstheme="minorEastAsia"/>
          <w:color w:val="000000"/>
          <w:sz w:val="24"/>
          <w:szCs w:val="24"/>
          <w:lang w:val="en-US" w:eastAsia="zh-CN"/>
        </w:rPr>
      </w:pPr>
    </w:p>
    <w:p w14:paraId="279A161F">
      <w:pPr>
        <w:pageBreakBefore w:val="0"/>
        <w:kinsoku/>
        <w:wordWrap/>
        <w:overflowPunct/>
        <w:topLinePunct w:val="0"/>
        <w:autoSpaceDE/>
        <w:autoSpaceDN/>
        <w:bidi w:val="0"/>
        <w:spacing w:line="360" w:lineRule="auto"/>
        <w:ind w:right="0" w:rightChars="0"/>
        <w:rPr>
          <w:rFonts w:hint="eastAsia" w:asciiTheme="minorEastAsia" w:hAnsiTheme="minorEastAsia" w:eastAsiaTheme="minorEastAsia" w:cstheme="minorEastAsia"/>
          <w:color w:val="000000"/>
          <w:sz w:val="24"/>
          <w:szCs w:val="24"/>
          <w:lang w:val="en-US" w:eastAsia="zh-CN"/>
        </w:rPr>
        <w:sectPr>
          <w:footerReference r:id="rId9" w:type="default"/>
          <w:pgSz w:w="11911" w:h="16838"/>
          <w:pgMar w:top="1417" w:right="1678" w:bottom="1179" w:left="1678" w:header="879" w:footer="998" w:gutter="0"/>
          <w:pgBorders>
            <w:top w:val="none" w:sz="0" w:space="0"/>
            <w:left w:val="none" w:sz="0" w:space="0"/>
            <w:bottom w:val="none" w:sz="0" w:space="0"/>
            <w:right w:val="none" w:sz="0" w:space="0"/>
          </w:pgBorders>
          <w:pgNumType w:fmt="decimal" w:start="1"/>
          <w:cols w:space="0" w:num="1"/>
          <w:rtlGutter w:val="0"/>
          <w:docGrid w:linePitch="312" w:charSpace="0"/>
        </w:sectPr>
      </w:pPr>
    </w:p>
    <w:p w14:paraId="6A40CBE6">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62" w:name="_Toc126321786"/>
      <w:bookmarkStart w:id="63" w:name="_Toc1839"/>
      <w:bookmarkStart w:id="64" w:name="_Toc5031"/>
      <w:r>
        <w:rPr>
          <w:rFonts w:hint="eastAsia" w:asciiTheme="minorEastAsia" w:hAnsiTheme="minorEastAsia" w:eastAsiaTheme="minorEastAsia" w:cstheme="minorEastAsia"/>
          <w:sz w:val="28"/>
          <w:szCs w:val="28"/>
          <w:lang w:val="en-US" w:eastAsia="zh-CN"/>
        </w:rPr>
        <w:t>（一）课程设置及教学计划表</w:t>
      </w:r>
      <w:bookmarkEnd w:id="62"/>
      <w:bookmarkEnd w:id="63"/>
      <w:bookmarkEnd w:id="64"/>
    </w:p>
    <w:p w14:paraId="2D1A5B3C">
      <w:pPr>
        <w:pageBreakBefore w:val="0"/>
        <w:kinsoku/>
        <w:wordWrap/>
        <w:overflowPunct/>
        <w:topLinePunct w:val="0"/>
        <w:autoSpaceDE/>
        <w:autoSpaceDN/>
        <w:bidi w:val="0"/>
        <w:spacing w:line="360" w:lineRule="auto"/>
        <w:ind w:left="0" w:right="0" w:rightChars="0" w:firstLine="422" w:firstLineChars="200"/>
        <w:jc w:val="center"/>
        <w:outlineLvl w:val="2"/>
        <w:rPr>
          <w:rFonts w:hint="eastAsia"/>
          <w:sz w:val="21"/>
          <w:szCs w:val="21"/>
        </w:rPr>
      </w:pPr>
      <w:r>
        <w:rPr>
          <w:rFonts w:hint="eastAsia" w:ascii="宋体" w:hAnsi="宋体" w:cs="宋体"/>
          <w:b/>
          <w:sz w:val="21"/>
          <w:szCs w:val="21"/>
        </w:rPr>
        <w:t>表</w:t>
      </w:r>
      <w:r>
        <w:rPr>
          <w:rFonts w:hint="eastAsia" w:ascii="宋体" w:hAnsi="宋体" w:cs="宋体"/>
          <w:b/>
          <w:sz w:val="21"/>
          <w:szCs w:val="21"/>
          <w:lang w:val="en-US" w:eastAsia="zh-CN"/>
        </w:rPr>
        <w:t>9</w:t>
      </w:r>
      <w:r>
        <w:rPr>
          <w:rFonts w:hint="eastAsia" w:ascii="宋体" w:hAnsi="宋体" w:cs="宋体"/>
          <w:b/>
          <w:sz w:val="21"/>
          <w:szCs w:val="21"/>
        </w:rPr>
        <w:t>-</w:t>
      </w:r>
      <w:r>
        <w:rPr>
          <w:rFonts w:hint="eastAsia" w:ascii="宋体" w:hAnsi="宋体" w:cs="宋体"/>
          <w:b/>
          <w:sz w:val="21"/>
          <w:szCs w:val="21"/>
          <w:lang w:val="en-US" w:eastAsia="zh-CN"/>
        </w:rPr>
        <w:t>2</w:t>
      </w:r>
      <w:r>
        <w:rPr>
          <w:rFonts w:hint="eastAsia" w:ascii="宋体" w:hAnsi="宋体" w:cs="宋体"/>
          <w:b/>
          <w:sz w:val="21"/>
          <w:szCs w:val="21"/>
        </w:rPr>
        <w:t xml:space="preserve">  </w:t>
      </w:r>
      <w:r>
        <w:rPr>
          <w:rFonts w:hint="eastAsia" w:ascii="宋体" w:hAnsi="宋体" w:cs="宋体"/>
          <w:b/>
          <w:sz w:val="21"/>
          <w:szCs w:val="21"/>
          <w:lang w:val="en-US" w:eastAsia="zh-CN"/>
        </w:rPr>
        <w:t>食品检验检测技术</w:t>
      </w:r>
      <w:r>
        <w:rPr>
          <w:rFonts w:hint="eastAsia" w:ascii="宋体" w:hAnsi="宋体" w:cs="宋体"/>
          <w:b/>
          <w:sz w:val="21"/>
          <w:szCs w:val="21"/>
        </w:rPr>
        <w:t>专业课程设置及教学计划表</w:t>
      </w:r>
    </w:p>
    <w:tbl>
      <w:tblPr>
        <w:tblStyle w:val="27"/>
        <w:tblW w:w="4906" w:type="pct"/>
        <w:jc w:val="center"/>
        <w:tblLayout w:type="fixed"/>
        <w:tblCellMar>
          <w:top w:w="0" w:type="dxa"/>
          <w:left w:w="108" w:type="dxa"/>
          <w:bottom w:w="0" w:type="dxa"/>
          <w:right w:w="108" w:type="dxa"/>
        </w:tblCellMar>
      </w:tblPr>
      <w:tblGrid>
        <w:gridCol w:w="767"/>
        <w:gridCol w:w="1127"/>
        <w:gridCol w:w="2775"/>
        <w:gridCol w:w="798"/>
        <w:gridCol w:w="835"/>
        <w:gridCol w:w="910"/>
        <w:gridCol w:w="858"/>
        <w:gridCol w:w="828"/>
        <w:gridCol w:w="1"/>
        <w:gridCol w:w="839"/>
        <w:gridCol w:w="1"/>
        <w:gridCol w:w="734"/>
        <w:gridCol w:w="1"/>
        <w:gridCol w:w="794"/>
        <w:gridCol w:w="1"/>
        <w:gridCol w:w="764"/>
        <w:gridCol w:w="1"/>
        <w:gridCol w:w="773"/>
        <w:gridCol w:w="1380"/>
      </w:tblGrid>
      <w:tr w14:paraId="59A7FF28">
        <w:tblPrEx>
          <w:tblCellMar>
            <w:top w:w="0" w:type="dxa"/>
            <w:left w:w="108" w:type="dxa"/>
            <w:bottom w:w="0" w:type="dxa"/>
            <w:right w:w="108" w:type="dxa"/>
          </w:tblCellMar>
        </w:tblPrEx>
        <w:trPr>
          <w:trHeight w:val="386" w:hRule="atLeast"/>
          <w:tblHeader/>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832326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p w14:paraId="0892D080">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性质</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3DA0FBE">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p w14:paraId="306356F8">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代码</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5626AEE">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课程名称</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4A149F2">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学分</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F05219D">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学时</w:t>
            </w:r>
          </w:p>
        </w:tc>
        <w:tc>
          <w:tcPr>
            <w:tcW w:w="1768" w:type="dxa"/>
            <w:gridSpan w:val="2"/>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7D9CF40">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学时分配</w:t>
            </w:r>
          </w:p>
        </w:tc>
        <w:tc>
          <w:tcPr>
            <w:tcW w:w="4737" w:type="dxa"/>
            <w:gridSpan w:val="11"/>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B64F90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各学期课程开设分布及学时安排</w:t>
            </w:r>
          </w:p>
        </w:tc>
        <w:tc>
          <w:tcPr>
            <w:tcW w:w="1380" w:type="dxa"/>
            <w:vMerge w:val="restart"/>
            <w:tcBorders>
              <w:top w:val="single" w:color="000000" w:sz="4" w:space="0"/>
              <w:left w:val="single" w:color="000000" w:sz="4" w:space="0"/>
              <w:right w:val="single" w:color="000000" w:sz="4" w:space="0"/>
            </w:tcBorders>
            <w:shd w:val="clear" w:color="auto" w:fill="C7DAF1" w:themeFill="text2" w:themeFillTint="32"/>
            <w:vAlign w:val="center"/>
          </w:tcPr>
          <w:p w14:paraId="054CDDE8">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w:t>
            </w:r>
          </w:p>
          <w:p w14:paraId="0BC18EB7">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b/>
                <w:color w:val="000000"/>
                <w:sz w:val="21"/>
                <w:szCs w:val="21"/>
                <w:lang w:bidi="ar"/>
              </w:rPr>
            </w:pPr>
            <w:r>
              <w:rPr>
                <w:rFonts w:hint="eastAsia" w:asciiTheme="minorEastAsia" w:hAnsiTheme="minorEastAsia" w:eastAsiaTheme="minorEastAsia" w:cstheme="minorEastAsia"/>
                <w:sz w:val="21"/>
                <w:szCs w:val="21"/>
              </w:rPr>
              <w:t>方式</w:t>
            </w:r>
          </w:p>
        </w:tc>
      </w:tr>
      <w:tr w14:paraId="23C0155F">
        <w:tblPrEx>
          <w:tblCellMar>
            <w:top w:w="0" w:type="dxa"/>
            <w:left w:w="108" w:type="dxa"/>
            <w:bottom w:w="0" w:type="dxa"/>
            <w:right w:w="108" w:type="dxa"/>
          </w:tblCellMar>
        </w:tblPrEx>
        <w:trPr>
          <w:trHeight w:val="386" w:hRule="atLeast"/>
          <w:tblHeader/>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D5127B1">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12C70F4">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463FE7A">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480F82D">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5464D7F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768" w:type="dxa"/>
            <w:gridSpan w:val="2"/>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16A92B2">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2E7EF8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第一学年</w:t>
            </w: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57A86F3">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第二学年</w:t>
            </w:r>
          </w:p>
        </w:tc>
        <w:tc>
          <w:tcPr>
            <w:tcW w:w="1539" w:type="dxa"/>
            <w:gridSpan w:val="4"/>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23C33F7">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第三学年</w:t>
            </w:r>
          </w:p>
        </w:tc>
        <w:tc>
          <w:tcPr>
            <w:tcW w:w="1380" w:type="dxa"/>
            <w:vMerge w:val="continue"/>
            <w:tcBorders>
              <w:left w:val="single" w:color="000000" w:sz="4" w:space="0"/>
              <w:right w:val="single" w:color="000000" w:sz="4" w:space="0"/>
            </w:tcBorders>
            <w:shd w:val="clear" w:color="auto" w:fill="C7DAF1" w:themeFill="text2" w:themeFillTint="32"/>
            <w:vAlign w:val="center"/>
          </w:tcPr>
          <w:p w14:paraId="7C457D3C">
            <w:pPr>
              <w:keepNext w:val="0"/>
              <w:keepLines w:val="0"/>
              <w:pageBreakBefore w:val="0"/>
              <w:kinsoku/>
              <w:wordWrap/>
              <w:overflowPunct/>
              <w:topLinePunct w:val="0"/>
              <w:autoSpaceDE/>
              <w:autoSpaceDN/>
              <w:bidi w:val="0"/>
              <w:adjustRightInd/>
              <w:snapToGrid/>
              <w:spacing w:line="360" w:lineRule="exact"/>
              <w:ind w:left="0" w:leftChars="0" w:right="0" w:rightChars="0" w:firstLine="422" w:firstLineChars="200"/>
              <w:jc w:val="center"/>
              <w:rPr>
                <w:rFonts w:hint="eastAsia" w:asciiTheme="minorEastAsia" w:hAnsiTheme="minorEastAsia" w:eastAsiaTheme="minorEastAsia" w:cstheme="minorEastAsia"/>
                <w:b/>
                <w:color w:val="000000"/>
                <w:sz w:val="21"/>
                <w:szCs w:val="21"/>
                <w:lang w:bidi="ar"/>
              </w:rPr>
            </w:pPr>
          </w:p>
        </w:tc>
      </w:tr>
      <w:tr w14:paraId="7D073FFC">
        <w:trPr>
          <w:trHeight w:val="386" w:hRule="atLeast"/>
          <w:tblHeader/>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5037BE50">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29EA73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CCBAEB9">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03C2C22">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C560979">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7CD90A8">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tc>
        <w:tc>
          <w:tcPr>
            <w:tcW w:w="858"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8B987C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实践</w:t>
            </w:r>
          </w:p>
        </w:tc>
        <w:tc>
          <w:tcPr>
            <w:tcW w:w="828" w:type="dxa"/>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985DD0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A02D0B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780C0F4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1C2E6DE">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5AC8F0C">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CAA4B08">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380" w:type="dxa"/>
            <w:vMerge w:val="continue"/>
            <w:tcBorders>
              <w:left w:val="single" w:color="000000" w:sz="4" w:space="0"/>
              <w:bottom w:val="single" w:color="000000" w:sz="4" w:space="0"/>
              <w:right w:val="single" w:color="000000" w:sz="4" w:space="0"/>
            </w:tcBorders>
            <w:shd w:val="clear" w:color="auto" w:fill="C7DAF1" w:themeFill="text2" w:themeFillTint="32"/>
            <w:vAlign w:val="center"/>
          </w:tcPr>
          <w:p w14:paraId="3A13474F">
            <w:pPr>
              <w:keepNext w:val="0"/>
              <w:keepLines w:val="0"/>
              <w:pageBreakBefore w:val="0"/>
              <w:kinsoku/>
              <w:wordWrap/>
              <w:overflowPunct/>
              <w:topLinePunct w:val="0"/>
              <w:autoSpaceDE/>
              <w:autoSpaceDN/>
              <w:bidi w:val="0"/>
              <w:adjustRightInd/>
              <w:snapToGrid/>
              <w:spacing w:line="360" w:lineRule="exact"/>
              <w:ind w:left="0" w:leftChars="0" w:right="0" w:rightChars="0" w:firstLine="422" w:firstLineChars="200"/>
              <w:jc w:val="center"/>
              <w:rPr>
                <w:rFonts w:hint="eastAsia" w:asciiTheme="minorEastAsia" w:hAnsiTheme="minorEastAsia" w:eastAsiaTheme="minorEastAsia" w:cstheme="minorEastAsia"/>
                <w:b/>
                <w:color w:val="000000"/>
                <w:sz w:val="21"/>
                <w:szCs w:val="21"/>
                <w:lang w:bidi="ar"/>
              </w:rPr>
            </w:pPr>
          </w:p>
        </w:tc>
      </w:tr>
      <w:tr w14:paraId="1ADF17AA">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24D8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公共必修课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2AB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AD2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思想道德与法治</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990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CD3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CB2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FD4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9FB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C99B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7316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CE5F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6856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57ED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E67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5290039D">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EDD3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30B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5CF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毛泽东思想和中国特色社会主义理论体系概论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745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A3B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77F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440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63F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A614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8440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D9E8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34F6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D993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452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6D3DA6B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363B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AD6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F77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习近平新时代中国特色社会主义思想概论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992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22B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371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94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F99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481C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E438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104E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2404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1A02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BFB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9DCA469">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526E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vMerge w:val="restart"/>
            <w:tcBorders>
              <w:top w:val="single" w:color="000000" w:sz="4" w:space="0"/>
              <w:left w:val="single" w:color="000000" w:sz="4" w:space="0"/>
              <w:right w:val="single" w:color="000000" w:sz="4" w:space="0"/>
            </w:tcBorders>
            <w:shd w:val="clear" w:color="auto" w:fill="auto"/>
            <w:vAlign w:val="center"/>
          </w:tcPr>
          <w:p w14:paraId="6802BD3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01000040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37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形势与政策（一）</w:t>
            </w:r>
          </w:p>
        </w:tc>
        <w:tc>
          <w:tcPr>
            <w:tcW w:w="798" w:type="dxa"/>
            <w:vMerge w:val="restart"/>
            <w:tcBorders>
              <w:top w:val="single" w:color="000000" w:sz="4" w:space="0"/>
              <w:left w:val="single" w:color="000000" w:sz="4" w:space="0"/>
              <w:right w:val="single" w:color="000000" w:sz="4" w:space="0"/>
            </w:tcBorders>
            <w:shd w:val="clear" w:color="auto" w:fill="auto"/>
            <w:vAlign w:val="center"/>
          </w:tcPr>
          <w:p w14:paraId="705FB7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835" w:type="dxa"/>
            <w:vMerge w:val="restart"/>
            <w:tcBorders>
              <w:top w:val="single" w:color="000000" w:sz="4" w:space="0"/>
              <w:left w:val="single" w:color="000000" w:sz="4" w:space="0"/>
              <w:right w:val="single" w:color="000000" w:sz="4" w:space="0"/>
            </w:tcBorders>
            <w:shd w:val="clear" w:color="auto" w:fill="auto"/>
            <w:vAlign w:val="center"/>
          </w:tcPr>
          <w:p w14:paraId="608BDB3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7C4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97D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7C0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5271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AEE3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5510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AD4F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898D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EE2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10D8AB8">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F43D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vMerge w:val="continue"/>
            <w:tcBorders>
              <w:left w:val="single" w:color="000000" w:sz="4" w:space="0"/>
              <w:right w:val="single" w:color="000000" w:sz="4" w:space="0"/>
            </w:tcBorders>
            <w:shd w:val="clear" w:color="auto" w:fill="auto"/>
            <w:vAlign w:val="center"/>
          </w:tcPr>
          <w:p w14:paraId="66D61AB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768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形势与政策（二）</w:t>
            </w:r>
          </w:p>
        </w:tc>
        <w:tc>
          <w:tcPr>
            <w:tcW w:w="798" w:type="dxa"/>
            <w:vMerge w:val="continue"/>
            <w:tcBorders>
              <w:left w:val="single" w:color="000000" w:sz="4" w:space="0"/>
              <w:right w:val="single" w:color="000000" w:sz="4" w:space="0"/>
            </w:tcBorders>
            <w:shd w:val="clear" w:color="auto" w:fill="auto"/>
            <w:vAlign w:val="center"/>
          </w:tcPr>
          <w:p w14:paraId="4073738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835" w:type="dxa"/>
            <w:vMerge w:val="continue"/>
            <w:tcBorders>
              <w:left w:val="single" w:color="000000" w:sz="4" w:space="0"/>
              <w:right w:val="single" w:color="000000" w:sz="4" w:space="0"/>
            </w:tcBorders>
            <w:shd w:val="clear" w:color="auto" w:fill="auto"/>
            <w:vAlign w:val="center"/>
          </w:tcPr>
          <w:p w14:paraId="3484305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7F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737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46D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69C3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04C5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DA10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FF3C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2397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E52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C7E991F">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EBEC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vMerge w:val="continue"/>
            <w:tcBorders>
              <w:left w:val="single" w:color="000000" w:sz="4" w:space="0"/>
              <w:right w:val="single" w:color="000000" w:sz="4" w:space="0"/>
            </w:tcBorders>
            <w:shd w:val="clear" w:color="auto" w:fill="auto"/>
            <w:vAlign w:val="center"/>
          </w:tcPr>
          <w:p w14:paraId="3E9E476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B19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形势与政策（三）</w:t>
            </w:r>
          </w:p>
        </w:tc>
        <w:tc>
          <w:tcPr>
            <w:tcW w:w="798" w:type="dxa"/>
            <w:vMerge w:val="continue"/>
            <w:tcBorders>
              <w:left w:val="single" w:color="000000" w:sz="4" w:space="0"/>
              <w:right w:val="single" w:color="000000" w:sz="4" w:space="0"/>
            </w:tcBorders>
            <w:shd w:val="clear" w:color="auto" w:fill="auto"/>
            <w:vAlign w:val="center"/>
          </w:tcPr>
          <w:p w14:paraId="5FC7D2A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835" w:type="dxa"/>
            <w:vMerge w:val="continue"/>
            <w:tcBorders>
              <w:left w:val="single" w:color="000000" w:sz="4" w:space="0"/>
              <w:right w:val="single" w:color="000000" w:sz="4" w:space="0"/>
            </w:tcBorders>
            <w:shd w:val="clear" w:color="auto" w:fill="auto"/>
            <w:vAlign w:val="center"/>
          </w:tcPr>
          <w:p w14:paraId="725F91C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29E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02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EAF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7962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17E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A69E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7EF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F99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423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5EED3713">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5AFA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vMerge w:val="continue"/>
            <w:tcBorders>
              <w:left w:val="single" w:color="000000" w:sz="4" w:space="0"/>
              <w:right w:val="single" w:color="000000" w:sz="4" w:space="0"/>
            </w:tcBorders>
            <w:shd w:val="clear" w:color="auto" w:fill="auto"/>
            <w:vAlign w:val="center"/>
          </w:tcPr>
          <w:p w14:paraId="4D303BD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3AB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形势与政策（四）</w:t>
            </w:r>
          </w:p>
        </w:tc>
        <w:tc>
          <w:tcPr>
            <w:tcW w:w="798" w:type="dxa"/>
            <w:vMerge w:val="continue"/>
            <w:tcBorders>
              <w:left w:val="single" w:color="000000" w:sz="4" w:space="0"/>
              <w:right w:val="single" w:color="000000" w:sz="4" w:space="0"/>
            </w:tcBorders>
            <w:shd w:val="clear" w:color="auto" w:fill="auto"/>
            <w:vAlign w:val="center"/>
          </w:tcPr>
          <w:p w14:paraId="1976251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835" w:type="dxa"/>
            <w:vMerge w:val="continue"/>
            <w:tcBorders>
              <w:left w:val="single" w:color="000000" w:sz="4" w:space="0"/>
              <w:right w:val="single" w:color="000000" w:sz="4" w:space="0"/>
            </w:tcBorders>
            <w:shd w:val="clear" w:color="auto" w:fill="auto"/>
            <w:vAlign w:val="center"/>
          </w:tcPr>
          <w:p w14:paraId="76349A7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61E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CF5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838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C714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E2A7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803E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C7A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B7A6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E36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092B99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7076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5A5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01000155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FBF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中国共产党党史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A1D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2E7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28B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5F8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C03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F5A7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01F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706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1EDD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159A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59C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1AF22B61">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24CF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04A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01000035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30C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思想政治理论课实践教学</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745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A57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077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A02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B63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FDB5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DDF8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BF5D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13FC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CFC3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1DD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3776564E">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E460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D1B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sz w:val="21"/>
                <w:szCs w:val="21"/>
                <w:highlight w:val="none"/>
                <w:lang w:val="en-US" w:eastAsia="zh-CN"/>
              </w:rPr>
              <w:t>01000007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22C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心理健康教育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881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BA4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552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7B3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9FD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90C8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4CED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E829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0988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54D7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48F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4C938AA5">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5FC3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E9D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01000005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B4C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军事理论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E25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90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4B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7BB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42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112A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6978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2853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20B2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810F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1C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4A00670F">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C8CD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E9F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01000103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01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军事技能</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4E7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B72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770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3FE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37F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8CCF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E3A1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80C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9621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5F5C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3C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73DE8092">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0082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9E1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01000077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B52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国家安全教育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E88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B7D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3E0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F9F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DFF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0F8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5962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483F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CF85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DE5A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2FB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22C5A6CD">
        <w:trPr>
          <w:trHeight w:val="90"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E71C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C90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BBA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yellow"/>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劳动教育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1A9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yellow"/>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9DD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61F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9D8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EF2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5F9C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0DD7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890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9D61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BFD7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031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3B353FA">
        <w:tblPrEx>
          <w:tblCellMar>
            <w:top w:w="0" w:type="dxa"/>
            <w:left w:w="108" w:type="dxa"/>
            <w:bottom w:w="0" w:type="dxa"/>
            <w:right w:w="108" w:type="dxa"/>
          </w:tblCellMar>
        </w:tblPrEx>
        <w:trPr>
          <w:trHeight w:val="90"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00C8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F1E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01000232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9D7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管理学基础</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467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B8E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EC1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027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B88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89F3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6E6C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C79E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F645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FED8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FD4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642DC33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44B7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9A7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01000009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277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大学英语（一）</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409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0B3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83C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C00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14B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0C1E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65E1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D12B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9711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E806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1A1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527709B9">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7F1F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B98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sz w:val="21"/>
                <w:szCs w:val="21"/>
                <w:highlight w:val="none"/>
                <w:lang w:val="en-US" w:eastAsia="zh-CN"/>
              </w:rPr>
              <w:t>01000019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C2C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大学英语（二）</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07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1A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8CD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4E5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D7E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B023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0C00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D248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B252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E63F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CFA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77835232">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6F30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0BF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sz w:val="21"/>
                <w:szCs w:val="21"/>
                <w:highlight w:val="none"/>
                <w:lang w:val="en-US" w:eastAsia="zh-CN"/>
              </w:rPr>
              <w:t>01000034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8CF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大学日语（一）</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66D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90C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A0A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BBA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A41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28C2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C075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E75B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C538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F59A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39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2840F74">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5181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CCB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sz w:val="21"/>
                <w:szCs w:val="21"/>
                <w:highlight w:val="none"/>
                <w:lang w:val="en-US" w:eastAsia="zh-CN"/>
              </w:rPr>
              <w:t>01000033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43A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大学日语（二）</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284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5BA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924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F5E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FF0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F0A2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C84D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1C2D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C3F9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DD43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05D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DAA1DDB">
        <w:tblPrEx>
          <w:tblCellMar>
            <w:top w:w="0" w:type="dxa"/>
            <w:left w:w="108" w:type="dxa"/>
            <w:bottom w:w="0" w:type="dxa"/>
            <w:right w:w="108" w:type="dxa"/>
          </w:tblCellMar>
        </w:tblPrEx>
        <w:trPr>
          <w:trHeight w:val="90"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8E49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004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FA6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信息技术</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DD7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06C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37D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BE4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C20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7F3E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3</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BE8A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E54E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12E9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E517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D9B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846ABC5">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8CFA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F81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01000098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068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公共体育</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06A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8D3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D4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989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043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06CA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3601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8D31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69AF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1557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2E3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BFC1DEB">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A720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ACA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01350221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C68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专项一</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01F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973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ED3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2BF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E2C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1D1F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3052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75AA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7AAB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C821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910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14591EC">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D378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6E2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01000097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D2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专项二</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278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DFF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7D4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B00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F33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1AC8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6392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CD59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238A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678A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857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3947EA1E">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8CD7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6DC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01000107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DBC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职业发展与就业指导</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75D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392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77B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529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B3C1">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D8485">
            <w:pPr>
              <w:pStyle w:val="55"/>
              <w:keepNext w:val="0"/>
              <w:keepLines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1</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55ACD">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1BC36">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FFDC9">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AD747">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95E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9A13854">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ED9E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470A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sz w:val="21"/>
                <w:szCs w:val="21"/>
                <w:lang w:val="en-US" w:eastAsia="zh-CN"/>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A87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39</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56B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742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238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 w:val="21"/>
                <w:szCs w:val="21"/>
                <w:lang w:val="en-US" w:eastAsia="zh-CN"/>
              </w:rPr>
              <w:t>382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2C9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 w:val="21"/>
                <w:szCs w:val="21"/>
                <w:lang w:val="en-US" w:eastAsia="zh-CN"/>
              </w:rPr>
              <w:t>360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300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 w:val="21"/>
                <w:szCs w:val="21"/>
                <w:lang w:val="en-US" w:eastAsia="zh-CN"/>
              </w:rPr>
              <w:t>14</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EB7B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 w:val="21"/>
                <w:szCs w:val="21"/>
                <w:lang w:val="en-US" w:eastAsia="zh-CN"/>
              </w:rPr>
              <w:t>19</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4469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 w:val="21"/>
                <w:szCs w:val="21"/>
                <w:lang w:val="en-US" w:eastAsia="zh-CN"/>
              </w:rPr>
              <w:t>3.5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42D1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 w:val="21"/>
                <w:szCs w:val="21"/>
                <w:lang w:val="en-US" w:eastAsia="zh-CN"/>
              </w:rPr>
              <w:t>0.5</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510D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 w:val="21"/>
                <w:szCs w:val="21"/>
                <w:lang w:val="en-US" w:eastAsia="zh-CN"/>
              </w:rPr>
              <w:t>0</w:t>
            </w:r>
          </w:p>
        </w:tc>
        <w:tc>
          <w:tcPr>
            <w:tcW w:w="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A254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 w:val="21"/>
                <w:szCs w:val="21"/>
                <w:lang w:val="en-US" w:eastAsia="zh-CN"/>
              </w:rPr>
              <w:t>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FF3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96706CC">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right w:val="single" w:color="auto" w:sz="4" w:space="0"/>
            </w:tcBorders>
            <w:shd w:val="clear" w:color="auto" w:fill="auto"/>
            <w:vAlign w:val="center"/>
          </w:tcPr>
          <w:p w14:paraId="7372E8E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公共限选课</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674D800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08000223</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14:paraId="365DBAF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中华民族共同体概论</w:t>
            </w:r>
          </w:p>
        </w:tc>
        <w:tc>
          <w:tcPr>
            <w:tcW w:w="798" w:type="dxa"/>
            <w:tcBorders>
              <w:top w:val="single" w:color="000000" w:sz="4" w:space="0"/>
              <w:left w:val="single" w:color="auto" w:sz="4" w:space="0"/>
              <w:bottom w:val="single" w:color="000000" w:sz="4" w:space="0"/>
              <w:right w:val="single" w:color="000000" w:sz="4" w:space="0"/>
            </w:tcBorders>
            <w:shd w:val="clear" w:color="auto" w:fill="auto"/>
            <w:vAlign w:val="center"/>
          </w:tcPr>
          <w:p w14:paraId="4FA0F474">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4B8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7724">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0993">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B8EB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986B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8658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F94D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B932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C49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210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5B442CD8">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auto" w:sz="4" w:space="0"/>
            </w:tcBorders>
            <w:shd w:val="clear" w:color="auto" w:fill="auto"/>
            <w:vAlign w:val="center"/>
          </w:tcPr>
          <w:p w14:paraId="0EF71D6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34DAE26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01000064</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14:paraId="1E91EC3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礼仪</w:t>
            </w:r>
          </w:p>
        </w:tc>
        <w:tc>
          <w:tcPr>
            <w:tcW w:w="798" w:type="dxa"/>
            <w:tcBorders>
              <w:top w:val="single" w:color="000000" w:sz="4" w:space="0"/>
              <w:left w:val="single" w:color="auto" w:sz="4" w:space="0"/>
              <w:bottom w:val="single" w:color="000000" w:sz="4" w:space="0"/>
              <w:right w:val="single" w:color="000000" w:sz="4" w:space="0"/>
            </w:tcBorders>
            <w:shd w:val="clear" w:color="auto" w:fill="auto"/>
            <w:vAlign w:val="center"/>
          </w:tcPr>
          <w:p w14:paraId="22CFDC9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F2E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F1F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75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9BC26">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C801A">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6C117">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ajorEastAsia" w:hAnsiTheme="majorEastAsia" w:eastAsiaTheme="majorEastAsia" w:cstheme="majorEastAsia"/>
                <w:b w:val="0"/>
                <w:bCs w:val="0"/>
                <w:sz w:val="18"/>
                <w:lang w:val="en-US" w:eastAsia="zh-CN"/>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5B409">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D39FE">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C09F">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A02D">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6DD43EAD">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auto" w:sz="4" w:space="0"/>
            </w:tcBorders>
            <w:shd w:val="clear" w:color="auto" w:fill="auto"/>
            <w:vAlign w:val="center"/>
          </w:tcPr>
          <w:p w14:paraId="278A3A3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47D5B2C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01000068</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14:paraId="2F9B9530">
            <w:pPr>
              <w:keepNext w:val="0"/>
              <w:keepLines w:val="0"/>
              <w:pageBreakBefore w:val="0"/>
              <w:widowControl/>
              <w:suppressLineNumbers w:val="0"/>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创新创业教育</w:t>
            </w:r>
          </w:p>
        </w:tc>
        <w:tc>
          <w:tcPr>
            <w:tcW w:w="798" w:type="dxa"/>
            <w:tcBorders>
              <w:top w:val="single" w:color="000000" w:sz="4" w:space="0"/>
              <w:left w:val="single" w:color="auto" w:sz="4" w:space="0"/>
              <w:bottom w:val="single" w:color="000000" w:sz="4" w:space="0"/>
              <w:right w:val="single" w:color="000000" w:sz="4" w:space="0"/>
            </w:tcBorders>
            <w:shd w:val="clear" w:color="auto" w:fill="auto"/>
            <w:vAlign w:val="center"/>
          </w:tcPr>
          <w:p w14:paraId="5B24AFF2">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BD8E">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296B">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F317">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2ADC5">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A337C">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89574">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08F38">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ajorEastAsia" w:hAnsiTheme="majorEastAsia" w:eastAsiaTheme="majorEastAsia" w:cstheme="majorEastAsia"/>
                <w:b w:val="0"/>
                <w:bCs w:val="0"/>
                <w:sz w:val="18"/>
                <w:lang w:val="en-US" w:eastAsia="zh-CN"/>
              </w:rPr>
              <w:t>1</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7E767">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CE2D">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0759">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4BA5576D">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bottom w:val="single" w:color="000000" w:sz="4" w:space="0"/>
              <w:right w:val="single" w:color="auto" w:sz="4" w:space="0"/>
            </w:tcBorders>
            <w:shd w:val="clear" w:color="auto" w:fill="auto"/>
            <w:vAlign w:val="center"/>
          </w:tcPr>
          <w:p w14:paraId="13B491F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0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37090C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168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F35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B52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56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A22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8</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AB80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2</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EF93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164F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1</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B968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1</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9F21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A0F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D6A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71D355CE">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5C0B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公共选修课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2FE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84F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公共选修课1</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EBB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07F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F89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037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86D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500B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ajorEastAsia" w:hAnsiTheme="majorEastAsia" w:eastAsiaTheme="majorEastAsia" w:cstheme="majorEastAsia"/>
                <w:b w:val="0"/>
                <w:bCs w:val="0"/>
                <w:sz w:val="18"/>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AB05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59E0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A564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B48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694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13A8EC2F">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DF76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58D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023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公共选修课2</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786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852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454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738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90B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0F8B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A1B3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ajorEastAsia" w:hAnsiTheme="majorEastAsia" w:eastAsiaTheme="majorEastAsia" w:cstheme="majorEastAsia"/>
                <w:b w:val="0"/>
                <w:bCs w:val="0"/>
                <w:sz w:val="18"/>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677B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A41D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FEB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E98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5EA6238D">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D9B0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315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0DC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公共选修课3</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E07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680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222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64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D58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384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A831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0DD8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1014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D6F7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3AB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B57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467EA40A">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1A8C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42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FE8BE6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自入校第二学期开设，每人在校需完成4-6个学分。</w:t>
            </w:r>
          </w:p>
        </w:tc>
      </w:tr>
      <w:tr w14:paraId="2D917DB8">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D636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专业基础课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309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02010001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81CB">
            <w:pPr>
              <w:widowControl/>
              <w:spacing w:line="360" w:lineRule="exact"/>
              <w:ind w:firstLine="0" w:firstLineChars="0"/>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基础化学</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F3F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165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FAC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015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763C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ajorEastAsia" w:hAnsiTheme="majorEastAsia" w:eastAsiaTheme="majorEastAsia" w:cstheme="majorEastAsia"/>
                <w:b w:val="0"/>
                <w:bCs w:val="0"/>
                <w:sz w:val="18"/>
                <w:lang w:val="en-US" w:eastAsia="zh-CN"/>
              </w:rPr>
              <w:t>3</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4E9A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9138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137E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7B5A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14D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469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5C8E791">
        <w:tblPrEx>
          <w:tblCellMar>
            <w:top w:w="0" w:type="dxa"/>
            <w:left w:w="108" w:type="dxa"/>
            <w:bottom w:w="0" w:type="dxa"/>
            <w:right w:w="108" w:type="dxa"/>
          </w:tblCellMar>
        </w:tblPrEx>
        <w:trPr>
          <w:trHeight w:val="90"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993E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208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02010002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D218">
            <w:pPr>
              <w:widowControl/>
              <w:spacing w:line="360" w:lineRule="exact"/>
              <w:ind w:firstLine="0" w:firstLineChars="0"/>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食品生物化学</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EE7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CDA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3FC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94A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B8D3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37E5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ajorEastAsia" w:hAnsiTheme="majorEastAsia" w:eastAsiaTheme="majorEastAsia" w:cstheme="majorEastAsia"/>
                <w:b w:val="0"/>
                <w:bCs w:val="0"/>
                <w:sz w:val="18"/>
                <w:lang w:val="en-US" w:eastAsia="zh-CN"/>
              </w:rPr>
              <w:t>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AFE4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C8D9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6245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3F0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EAF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74BBE18">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8E26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85BF">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02010003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3B3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食品微生物基础</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4D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CDE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E91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697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C209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DF1C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ajorEastAsia" w:hAnsiTheme="majorEastAsia" w:eastAsiaTheme="majorEastAsia" w:cstheme="majorEastAsia"/>
                <w:b w:val="0"/>
                <w:bCs w:val="0"/>
                <w:sz w:val="18"/>
                <w:lang w:val="en-US" w:eastAsia="zh-CN"/>
              </w:rPr>
              <w:t>4</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5EFA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FF7B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F1D0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450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0B8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02821A34">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55FF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9E6B">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02010004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A7C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食品标准与法规</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C6D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E65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031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CA3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E4FD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ajorEastAsia" w:hAnsiTheme="majorEastAsia" w:eastAsiaTheme="majorEastAsia" w:cstheme="majorEastAsia"/>
                <w:b w:val="0"/>
                <w:bCs w:val="0"/>
                <w:sz w:val="18"/>
                <w:lang w:val="en-US" w:eastAsia="zh-CN"/>
              </w:rPr>
              <w:t>2</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3482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16A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109C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211D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B80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3B4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7B0F3BA">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9E5A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C32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02010005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46F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食品加工技术概论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D96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32A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959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C5B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1291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FD79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F1A6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ajorEastAsia" w:hAnsiTheme="majorEastAsia" w:eastAsiaTheme="majorEastAsia" w:cstheme="majorEastAsia"/>
                <w:b w:val="0"/>
                <w:bCs w:val="0"/>
                <w:sz w:val="18"/>
                <w:lang w:val="en-US" w:eastAsia="zh-CN"/>
              </w:rPr>
              <w:t>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E8FC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3A53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1A6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DEE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3564B532">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9122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68A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0201002</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5C1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分析化学</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03A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497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36A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36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A29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12</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0500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ajorEastAsia" w:hAnsiTheme="majorEastAsia" w:eastAsiaTheme="majorEastAsia" w:cstheme="majorEastAsia"/>
                <w:b w:val="0"/>
                <w:bCs w:val="0"/>
                <w:sz w:val="18"/>
                <w:highlight w:val="none"/>
                <w:lang w:val="en-US" w:eastAsia="zh-CN"/>
              </w:rPr>
              <w:t>3</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C40D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19F8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5EAC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3196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448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D25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1AC75429">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6871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DEA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0201002</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066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食品安全与卫生</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B6C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BC2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0C4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331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5635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87B5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ajorEastAsia" w:hAnsiTheme="majorEastAsia" w:eastAsiaTheme="majorEastAsia" w:cstheme="majorEastAsia"/>
                <w:b w:val="0"/>
                <w:bCs w:val="0"/>
                <w:sz w:val="18"/>
                <w:highlight w:val="none"/>
                <w:lang w:val="en-US" w:eastAsia="zh-CN"/>
              </w:rPr>
              <w:t>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97AF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4A9D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C015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7CE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F2B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5073836E">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8C41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49A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02010006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479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食品营养学</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CFB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CB2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759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8CA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D4D5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18D1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05F7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1B17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r>
              <w:rPr>
                <w:rFonts w:hint="eastAsia" w:asciiTheme="majorEastAsia" w:hAnsiTheme="majorEastAsia" w:eastAsiaTheme="majorEastAsia" w:cstheme="majorEastAsia"/>
                <w:b w:val="0"/>
                <w:bCs w:val="0"/>
                <w:sz w:val="18"/>
                <w:highlight w:val="none"/>
                <w:lang w:val="en-US" w:eastAsia="zh-CN"/>
              </w:rPr>
              <w:t>2</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A540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713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DB9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52D7BCE8">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0C61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66CB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647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106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320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DCC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264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FBD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56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8F82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8</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1651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8</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359E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E23D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2</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1524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BF0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8EA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7AFA5660">
        <w:tblPrEx>
          <w:tblCellMar>
            <w:top w:w="0" w:type="dxa"/>
            <w:left w:w="108" w:type="dxa"/>
            <w:bottom w:w="0" w:type="dxa"/>
            <w:right w:w="108" w:type="dxa"/>
          </w:tblCellMar>
        </w:tblPrEx>
        <w:trPr>
          <w:trHeight w:val="90" w:hRule="atLeast"/>
          <w:jc w:val="center"/>
        </w:trPr>
        <w:tc>
          <w:tcPr>
            <w:tcW w:w="767" w:type="dxa"/>
            <w:vMerge w:val="restart"/>
            <w:tcBorders>
              <w:top w:val="single" w:color="000000" w:sz="4" w:space="0"/>
              <w:left w:val="single" w:color="000000" w:sz="4" w:space="0"/>
              <w:right w:val="single" w:color="000000" w:sz="4" w:space="0"/>
            </w:tcBorders>
            <w:shd w:val="clear" w:color="auto" w:fill="auto"/>
            <w:vAlign w:val="center"/>
          </w:tcPr>
          <w:p w14:paraId="7C2BA16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专业核心课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4C8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0201002</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E89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食品感官分析</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技术</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D4F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187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B57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50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069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14</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4C90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6849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595C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lang w:val="en-US" w:eastAsia="zh-CN"/>
              </w:rPr>
              <w:t>4</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95D2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086F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1E7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AC1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0DCEC3C">
        <w:tblPrEx>
          <w:tblCellMar>
            <w:top w:w="0" w:type="dxa"/>
            <w:left w:w="108" w:type="dxa"/>
            <w:bottom w:w="0" w:type="dxa"/>
            <w:right w:w="108" w:type="dxa"/>
          </w:tblCellMar>
        </w:tblPrEx>
        <w:trPr>
          <w:trHeight w:val="90" w:hRule="atLeast"/>
          <w:jc w:val="center"/>
        </w:trPr>
        <w:tc>
          <w:tcPr>
            <w:tcW w:w="767" w:type="dxa"/>
            <w:vMerge w:val="continue"/>
            <w:tcBorders>
              <w:left w:val="single" w:color="000000" w:sz="4" w:space="0"/>
              <w:right w:val="single" w:color="000000" w:sz="4" w:space="0"/>
            </w:tcBorders>
            <w:shd w:val="clear" w:color="auto" w:fill="auto"/>
            <w:vAlign w:val="center"/>
          </w:tcPr>
          <w:p w14:paraId="38D3AF3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16E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02010009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1B9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食品微生物检验技术</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A39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69E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80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5BB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58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39B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22</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3A1F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F8F6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6370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lang w:val="en-US" w:eastAsia="zh-CN"/>
              </w:rPr>
              <w:t>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8050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6CEF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1F7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09D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3063E99F">
        <w:tblPrEx>
          <w:tblCellMar>
            <w:top w:w="0" w:type="dxa"/>
            <w:left w:w="108" w:type="dxa"/>
            <w:bottom w:w="0" w:type="dxa"/>
            <w:right w:w="108" w:type="dxa"/>
          </w:tblCellMar>
        </w:tblPrEx>
        <w:trPr>
          <w:trHeight w:val="90" w:hRule="atLeast"/>
          <w:jc w:val="center"/>
        </w:trPr>
        <w:tc>
          <w:tcPr>
            <w:tcW w:w="767" w:type="dxa"/>
            <w:vMerge w:val="continue"/>
            <w:tcBorders>
              <w:left w:val="single" w:color="000000" w:sz="4" w:space="0"/>
              <w:right w:val="single" w:color="000000" w:sz="4" w:space="0"/>
            </w:tcBorders>
            <w:shd w:val="clear" w:color="auto" w:fill="auto"/>
            <w:vAlign w:val="center"/>
          </w:tcPr>
          <w:p w14:paraId="115CB6D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344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02010010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6DF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食品理化检验技术</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1E6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6</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F4A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96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E2B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70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EF2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E155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D191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0245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C1F7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lang w:val="en-US" w:eastAsia="zh-CN"/>
              </w:rPr>
              <w:t>6</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B6D2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845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954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8DB3EDB">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738D131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7DC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02010011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59D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食品仪器分析技术</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53D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A4C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A70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36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288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12</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DFAD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7E34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EAAF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21B7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lang w:val="en-US" w:eastAsia="zh-CN"/>
              </w:rPr>
              <w:t>3</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5939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A2B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D8A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CCD0F7E">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0B2F492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75D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0201002</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BC3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食品快速检测</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技术</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7A6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020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B1F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36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BA6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12</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B9CE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FC45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401B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lang w:val="en-US" w:eastAsia="zh-CN"/>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7059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B495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201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B4E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1CB5DA51">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6627B24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59A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02010013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0DE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检测实验室管理与运行</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322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B73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48A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3DD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0685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27A0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14B6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5AB9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lang w:val="en-US" w:eastAsia="zh-CN"/>
              </w:rPr>
              <w:t>2</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B0AD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703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8FF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718F7850">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03F0533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BCB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02010014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2AA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食品质量安全与控制技术</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0D3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1CE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28C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D63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AC9B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7499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3241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14F7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lang w:val="en-US" w:eastAsia="zh-CN"/>
              </w:rPr>
              <w:t>2</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7DCD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D83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214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6002635B">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48471A6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FA9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02010017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AA0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岗位实习</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161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A25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600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8B2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2E0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600</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4823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256C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D13B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931B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9273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B1B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lang w:val="en-US" w:eastAsia="zh-CN"/>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55D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2B3848D8">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1AD6B8F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665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02010018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220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毕业设计（论文）</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A1E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76B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60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53F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762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60</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FBED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240D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98B3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D751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6533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784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ajorEastAsia" w:hAnsiTheme="majorEastAsia" w:eastAsiaTheme="majorEastAsia" w:cstheme="majorEastAsia"/>
                <w:b w:val="0"/>
                <w:bCs w:val="0"/>
                <w:sz w:val="18"/>
                <w:lang w:val="en-US" w:eastAsia="zh-CN"/>
              </w:rPr>
            </w:pPr>
            <w:r>
              <w:rPr>
                <w:rFonts w:hint="eastAsia" w:asciiTheme="majorEastAsia" w:hAnsiTheme="majorEastAsia" w:eastAsiaTheme="majorEastAsia" w:cstheme="majorEastAsia"/>
                <w:b w:val="0"/>
                <w:bCs w:val="0"/>
                <w:sz w:val="18"/>
                <w:lang w:val="en-US" w:eastAsia="zh-CN"/>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751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43464BFB">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bottom w:val="single" w:color="000000" w:sz="4" w:space="0"/>
              <w:right w:val="single" w:color="000000" w:sz="4" w:space="0"/>
            </w:tcBorders>
            <w:shd w:val="clear" w:color="auto" w:fill="auto"/>
            <w:vAlign w:val="center"/>
          </w:tcPr>
          <w:p w14:paraId="5EABA74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73FB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9A8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47</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63B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1060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D16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314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748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746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F44F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DAD1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2AFC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12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93E8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13</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0333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6B8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6F1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17976595">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right w:val="single" w:color="000000" w:sz="4" w:space="0"/>
            </w:tcBorders>
            <w:shd w:val="clear" w:color="auto" w:fill="auto"/>
            <w:vAlign w:val="center"/>
          </w:tcPr>
          <w:p w14:paraId="1944607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专业实践课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80E3">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020100</w:t>
            </w:r>
            <w:r>
              <w:rPr>
                <w:rFonts w:hint="eastAsia" w:asciiTheme="minorEastAsia" w:hAnsiTheme="minorEastAsia" w:eastAsiaTheme="minorEastAsia" w:cstheme="minorEastAsia"/>
                <w:szCs w:val="21"/>
                <w:lang w:val="en-US" w:eastAsia="zh-CN"/>
              </w:rPr>
              <w:t>35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BAE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default"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食品检验基础技能</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实训</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9AB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6</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34D5">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96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211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65B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96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4955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106E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D31A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4E2F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9AEB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lang w:val="en-US" w:eastAsia="zh-CN"/>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990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DF1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15443702">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679C5A7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2B5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020100</w:t>
            </w:r>
            <w:r>
              <w:rPr>
                <w:rFonts w:hint="eastAsia" w:asciiTheme="minorEastAsia" w:hAnsiTheme="minorEastAsia" w:eastAsiaTheme="minorEastAsia" w:cstheme="minorEastAsia"/>
                <w:szCs w:val="21"/>
                <w:lang w:val="en-US" w:eastAsia="zh-CN"/>
              </w:rPr>
              <w:t>36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40B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default"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食品理化与微生物检验</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实训</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2AEE">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6</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C481">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96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23F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ABB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96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AD23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61FA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1A4E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CF23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02B63">
            <w:pPr>
              <w:pStyle w:val="55"/>
              <w:spacing w:line="360" w:lineRule="exact"/>
              <w:ind w:firstLine="0" w:firstLineChars="0"/>
              <w:jc w:val="center"/>
              <w:rPr>
                <w:rFonts w:hint="default" w:asciiTheme="majorEastAsia" w:hAnsiTheme="majorEastAsia" w:eastAsiaTheme="majorEastAsia" w:cstheme="majorEastAsia"/>
                <w:b w:val="0"/>
                <w:bCs w:val="0"/>
                <w:sz w:val="18"/>
                <w:lang w:val="en-US" w:eastAsia="zh-CN"/>
              </w:rPr>
            </w:pPr>
            <w:r>
              <w:rPr>
                <w:rFonts w:hint="eastAsia" w:asciiTheme="majorEastAsia" w:hAnsiTheme="majorEastAsia" w:eastAsiaTheme="majorEastAsia" w:cstheme="majorEastAsia"/>
                <w:b w:val="0"/>
                <w:bCs w:val="0"/>
                <w:sz w:val="18"/>
                <w:lang w:val="en-US" w:eastAsia="zh-CN"/>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7F6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695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659493B9">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4DA1D78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C14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020100</w:t>
            </w:r>
            <w:r>
              <w:rPr>
                <w:rFonts w:hint="eastAsia" w:asciiTheme="minorEastAsia" w:hAnsiTheme="minorEastAsia" w:eastAsiaTheme="minorEastAsia" w:cstheme="minorEastAsia"/>
                <w:szCs w:val="21"/>
                <w:lang w:val="en-US" w:eastAsia="zh-CN"/>
              </w:rPr>
              <w:t>37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9AA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default"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食品检验综合项目</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实训</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437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6</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609C">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96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F1C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4C3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96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3ED6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7AFA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4EEC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3E43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F2C39">
            <w:pPr>
              <w:pStyle w:val="55"/>
              <w:spacing w:line="360" w:lineRule="exact"/>
              <w:ind w:firstLine="0" w:firstLineChars="0"/>
              <w:jc w:val="center"/>
              <w:rPr>
                <w:rFonts w:hint="default" w:asciiTheme="majorEastAsia" w:hAnsiTheme="majorEastAsia" w:eastAsiaTheme="majorEastAsia" w:cstheme="majorEastAsia"/>
                <w:b w:val="0"/>
                <w:bCs w:val="0"/>
                <w:sz w:val="18"/>
                <w:lang w:val="en-US" w:eastAsia="zh-CN"/>
              </w:rPr>
            </w:pPr>
            <w:r>
              <w:rPr>
                <w:rFonts w:hint="eastAsia" w:asciiTheme="majorEastAsia" w:hAnsiTheme="majorEastAsia" w:eastAsiaTheme="majorEastAsia" w:cstheme="majorEastAsia"/>
                <w:b w:val="0"/>
                <w:bCs w:val="0"/>
                <w:sz w:val="18"/>
                <w:lang w:val="en-US" w:eastAsia="zh-CN"/>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B8D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F17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17D3DC1C">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bottom w:val="single" w:color="000000" w:sz="4" w:space="0"/>
              <w:right w:val="single" w:color="000000" w:sz="4" w:space="0"/>
            </w:tcBorders>
            <w:shd w:val="clear" w:color="auto" w:fill="auto"/>
            <w:vAlign w:val="center"/>
          </w:tcPr>
          <w:p w14:paraId="6A0CB09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B445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D30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18</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689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288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2FE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649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288</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79C2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C173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9095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6596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42BB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18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7F1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FCB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064438B9">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right w:val="single" w:color="000000" w:sz="4" w:space="0"/>
            </w:tcBorders>
            <w:shd w:val="clear" w:color="auto" w:fill="auto"/>
            <w:vAlign w:val="center"/>
          </w:tcPr>
          <w:p w14:paraId="6B31489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专业选修课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8BB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02010015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1AE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焙烤食品工艺</w:t>
            </w:r>
          </w:p>
        </w:tc>
        <w:tc>
          <w:tcPr>
            <w:tcW w:w="798" w:type="dxa"/>
            <w:vMerge w:val="restart"/>
            <w:tcBorders>
              <w:top w:val="single" w:color="000000" w:sz="4" w:space="0"/>
              <w:left w:val="single" w:color="000000" w:sz="4" w:space="0"/>
              <w:right w:val="single" w:color="000000" w:sz="4" w:space="0"/>
            </w:tcBorders>
            <w:shd w:val="clear" w:color="auto" w:fill="auto"/>
            <w:vAlign w:val="center"/>
          </w:tcPr>
          <w:p w14:paraId="759621C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w:t>
            </w:r>
          </w:p>
        </w:tc>
        <w:tc>
          <w:tcPr>
            <w:tcW w:w="835" w:type="dxa"/>
            <w:vMerge w:val="restart"/>
            <w:tcBorders>
              <w:top w:val="single" w:color="000000" w:sz="4" w:space="0"/>
              <w:left w:val="single" w:color="000000" w:sz="4" w:space="0"/>
              <w:right w:val="single" w:color="000000" w:sz="4" w:space="0"/>
            </w:tcBorders>
            <w:shd w:val="clear" w:color="auto" w:fill="auto"/>
            <w:vAlign w:val="center"/>
          </w:tcPr>
          <w:p w14:paraId="5334B0D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48</w:t>
            </w:r>
          </w:p>
        </w:tc>
        <w:tc>
          <w:tcPr>
            <w:tcW w:w="910" w:type="dxa"/>
            <w:vMerge w:val="restart"/>
            <w:tcBorders>
              <w:top w:val="single" w:color="000000" w:sz="4" w:space="0"/>
              <w:left w:val="single" w:color="000000" w:sz="4" w:space="0"/>
              <w:right w:val="single" w:color="000000" w:sz="4" w:space="0"/>
            </w:tcBorders>
            <w:shd w:val="clear" w:color="auto" w:fill="auto"/>
            <w:vAlign w:val="center"/>
          </w:tcPr>
          <w:p w14:paraId="6DD0E6E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44</w:t>
            </w:r>
          </w:p>
        </w:tc>
        <w:tc>
          <w:tcPr>
            <w:tcW w:w="858" w:type="dxa"/>
            <w:vMerge w:val="restart"/>
            <w:tcBorders>
              <w:top w:val="single" w:color="000000" w:sz="4" w:space="0"/>
              <w:left w:val="single" w:color="000000" w:sz="4" w:space="0"/>
              <w:right w:val="single" w:color="000000" w:sz="4" w:space="0"/>
            </w:tcBorders>
            <w:shd w:val="clear" w:color="auto" w:fill="auto"/>
            <w:vAlign w:val="center"/>
          </w:tcPr>
          <w:p w14:paraId="08BDFA3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D684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11E6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35" w:type="dxa"/>
            <w:gridSpan w:val="2"/>
            <w:vMerge w:val="restart"/>
            <w:tcBorders>
              <w:top w:val="single" w:color="000000" w:sz="4" w:space="0"/>
              <w:left w:val="single" w:color="000000" w:sz="4" w:space="0"/>
              <w:right w:val="single" w:color="000000" w:sz="4" w:space="0"/>
            </w:tcBorders>
            <w:shd w:val="clear" w:color="auto" w:fill="auto"/>
            <w:vAlign w:val="center"/>
          </w:tcPr>
          <w:p w14:paraId="7A04DFB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ajorEastAsia" w:hAnsiTheme="majorEastAsia" w:eastAsiaTheme="majorEastAsia" w:cstheme="majorEastAsia"/>
                <w:b w:val="0"/>
                <w:bCs w:val="0"/>
                <w:sz w:val="18"/>
                <w:lang w:val="en-US" w:eastAsia="zh-CN"/>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EB9C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0E6A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DD7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vMerge w:val="restart"/>
            <w:tcBorders>
              <w:top w:val="single" w:color="000000" w:sz="4" w:space="0"/>
              <w:left w:val="single" w:color="000000" w:sz="4" w:space="0"/>
              <w:right w:val="single" w:color="000000" w:sz="4" w:space="0"/>
            </w:tcBorders>
            <w:shd w:val="clear" w:color="auto" w:fill="auto"/>
            <w:vAlign w:val="center"/>
          </w:tcPr>
          <w:p w14:paraId="265D134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39BBE1B0">
        <w:tblPrEx>
          <w:tblCellMar>
            <w:top w:w="0" w:type="dxa"/>
            <w:left w:w="108" w:type="dxa"/>
            <w:bottom w:w="0" w:type="dxa"/>
            <w:right w:w="108" w:type="dxa"/>
          </w:tblCellMar>
        </w:tblPrEx>
        <w:trPr>
          <w:trHeight w:val="468" w:hRule="atLeast"/>
          <w:jc w:val="center"/>
        </w:trPr>
        <w:tc>
          <w:tcPr>
            <w:tcW w:w="767" w:type="dxa"/>
            <w:vMerge w:val="continue"/>
            <w:tcBorders>
              <w:left w:val="single" w:color="000000" w:sz="4" w:space="0"/>
              <w:right w:val="single" w:color="000000" w:sz="4" w:space="0"/>
            </w:tcBorders>
            <w:shd w:val="clear" w:color="auto" w:fill="auto"/>
            <w:vAlign w:val="center"/>
          </w:tcPr>
          <w:p w14:paraId="6035C4D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80C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020100</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10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食品安全监督管理</w:t>
            </w:r>
          </w:p>
        </w:tc>
        <w:tc>
          <w:tcPr>
            <w:tcW w:w="798" w:type="dxa"/>
            <w:vMerge w:val="continue"/>
            <w:tcBorders>
              <w:left w:val="single" w:color="000000" w:sz="4" w:space="0"/>
              <w:bottom w:val="single" w:color="000000" w:sz="4" w:space="0"/>
              <w:right w:val="single" w:color="000000" w:sz="4" w:space="0"/>
            </w:tcBorders>
            <w:shd w:val="clear" w:color="auto" w:fill="auto"/>
            <w:vAlign w:val="center"/>
          </w:tcPr>
          <w:p w14:paraId="3747FBA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tc>
        <w:tc>
          <w:tcPr>
            <w:tcW w:w="835" w:type="dxa"/>
            <w:vMerge w:val="continue"/>
            <w:tcBorders>
              <w:left w:val="single" w:color="000000" w:sz="4" w:space="0"/>
              <w:bottom w:val="single" w:color="000000" w:sz="4" w:space="0"/>
              <w:right w:val="single" w:color="000000" w:sz="4" w:space="0"/>
            </w:tcBorders>
            <w:shd w:val="clear" w:color="auto" w:fill="auto"/>
            <w:vAlign w:val="center"/>
          </w:tcPr>
          <w:p w14:paraId="6A0D8E6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tc>
        <w:tc>
          <w:tcPr>
            <w:tcW w:w="910" w:type="dxa"/>
            <w:vMerge w:val="continue"/>
            <w:tcBorders>
              <w:left w:val="single" w:color="000000" w:sz="4" w:space="0"/>
              <w:bottom w:val="single" w:color="000000" w:sz="4" w:space="0"/>
              <w:right w:val="single" w:color="000000" w:sz="4" w:space="0"/>
            </w:tcBorders>
            <w:shd w:val="clear" w:color="auto" w:fill="auto"/>
            <w:vAlign w:val="center"/>
          </w:tcPr>
          <w:p w14:paraId="47E0414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tc>
        <w:tc>
          <w:tcPr>
            <w:tcW w:w="858" w:type="dxa"/>
            <w:vMerge w:val="continue"/>
            <w:tcBorders>
              <w:left w:val="single" w:color="000000" w:sz="4" w:space="0"/>
              <w:bottom w:val="single" w:color="000000" w:sz="4" w:space="0"/>
              <w:right w:val="single" w:color="000000" w:sz="4" w:space="0"/>
            </w:tcBorders>
            <w:shd w:val="clear" w:color="auto" w:fill="auto"/>
            <w:vAlign w:val="center"/>
          </w:tcPr>
          <w:p w14:paraId="15C6AFB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FCE0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D02F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35" w:type="dxa"/>
            <w:gridSpan w:val="2"/>
            <w:vMerge w:val="continue"/>
            <w:tcBorders>
              <w:left w:val="single" w:color="000000" w:sz="4" w:space="0"/>
              <w:bottom w:val="single" w:color="000000" w:sz="4" w:space="0"/>
              <w:right w:val="single" w:color="000000" w:sz="4" w:space="0"/>
            </w:tcBorders>
            <w:shd w:val="clear" w:color="auto" w:fill="auto"/>
            <w:vAlign w:val="center"/>
          </w:tcPr>
          <w:p w14:paraId="1FE9461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5009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2530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389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vMerge w:val="continue"/>
            <w:tcBorders>
              <w:left w:val="single" w:color="000000" w:sz="4" w:space="0"/>
              <w:bottom w:val="single" w:color="000000" w:sz="4" w:space="0"/>
              <w:right w:val="single" w:color="000000" w:sz="4" w:space="0"/>
            </w:tcBorders>
            <w:shd w:val="clear" w:color="auto" w:fill="auto"/>
            <w:vAlign w:val="center"/>
          </w:tcPr>
          <w:p w14:paraId="0287FC8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10A1DFDA">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2390FA8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DE8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020100</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C6E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食品添加剂及应用</w:t>
            </w:r>
          </w:p>
        </w:tc>
        <w:tc>
          <w:tcPr>
            <w:tcW w:w="798" w:type="dxa"/>
            <w:vMerge w:val="restart"/>
            <w:tcBorders>
              <w:top w:val="single" w:color="000000" w:sz="4" w:space="0"/>
              <w:left w:val="single" w:color="000000" w:sz="4" w:space="0"/>
              <w:right w:val="single" w:color="000000" w:sz="4" w:space="0"/>
            </w:tcBorders>
            <w:shd w:val="clear" w:color="auto" w:fill="auto"/>
            <w:vAlign w:val="center"/>
          </w:tcPr>
          <w:p w14:paraId="6EBBF9C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w:t>
            </w:r>
          </w:p>
        </w:tc>
        <w:tc>
          <w:tcPr>
            <w:tcW w:w="835" w:type="dxa"/>
            <w:vMerge w:val="restart"/>
            <w:tcBorders>
              <w:top w:val="single" w:color="000000" w:sz="4" w:space="0"/>
              <w:left w:val="single" w:color="000000" w:sz="4" w:space="0"/>
              <w:right w:val="single" w:color="000000" w:sz="4" w:space="0"/>
            </w:tcBorders>
            <w:shd w:val="clear" w:color="auto" w:fill="auto"/>
            <w:vAlign w:val="center"/>
          </w:tcPr>
          <w:p w14:paraId="0E7529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48</w:t>
            </w:r>
          </w:p>
        </w:tc>
        <w:tc>
          <w:tcPr>
            <w:tcW w:w="910" w:type="dxa"/>
            <w:vMerge w:val="restart"/>
            <w:tcBorders>
              <w:top w:val="single" w:color="000000" w:sz="4" w:space="0"/>
              <w:left w:val="single" w:color="000000" w:sz="4" w:space="0"/>
              <w:right w:val="single" w:color="000000" w:sz="4" w:space="0"/>
            </w:tcBorders>
            <w:shd w:val="clear" w:color="auto" w:fill="auto"/>
            <w:vAlign w:val="center"/>
          </w:tcPr>
          <w:p w14:paraId="5E80AA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44</w:t>
            </w:r>
          </w:p>
        </w:tc>
        <w:tc>
          <w:tcPr>
            <w:tcW w:w="858" w:type="dxa"/>
            <w:vMerge w:val="restart"/>
            <w:tcBorders>
              <w:top w:val="single" w:color="000000" w:sz="4" w:space="0"/>
              <w:left w:val="single" w:color="000000" w:sz="4" w:space="0"/>
              <w:right w:val="single" w:color="000000" w:sz="4" w:space="0"/>
            </w:tcBorders>
            <w:shd w:val="clear" w:color="auto" w:fill="auto"/>
            <w:vAlign w:val="center"/>
          </w:tcPr>
          <w:p w14:paraId="0B7A2E5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4</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B7EF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981A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F1A3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95" w:type="dxa"/>
            <w:gridSpan w:val="2"/>
            <w:vMerge w:val="restart"/>
            <w:tcBorders>
              <w:top w:val="single" w:color="000000" w:sz="4" w:space="0"/>
              <w:left w:val="single" w:color="000000" w:sz="4" w:space="0"/>
              <w:right w:val="single" w:color="000000" w:sz="4" w:space="0"/>
            </w:tcBorders>
            <w:shd w:val="clear" w:color="auto" w:fill="auto"/>
            <w:vAlign w:val="center"/>
          </w:tcPr>
          <w:p w14:paraId="1518B5C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ajorEastAsia" w:hAnsiTheme="majorEastAsia" w:eastAsiaTheme="majorEastAsia" w:cstheme="majorEastAsia"/>
                <w:b w:val="0"/>
                <w:bCs w:val="0"/>
                <w:sz w:val="18"/>
                <w:lang w:val="en-US" w:eastAsia="zh-CN"/>
              </w:rPr>
              <w:t>3</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7273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367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vMerge w:val="restart"/>
            <w:tcBorders>
              <w:top w:val="single" w:color="000000" w:sz="4" w:space="0"/>
              <w:left w:val="single" w:color="000000" w:sz="4" w:space="0"/>
              <w:right w:val="single" w:color="000000" w:sz="4" w:space="0"/>
            </w:tcBorders>
            <w:shd w:val="clear" w:color="auto" w:fill="auto"/>
            <w:vAlign w:val="center"/>
          </w:tcPr>
          <w:p w14:paraId="5FB436D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114FEBAC">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right w:val="single" w:color="000000" w:sz="4" w:space="0"/>
            </w:tcBorders>
            <w:shd w:val="clear" w:color="auto" w:fill="auto"/>
            <w:vAlign w:val="center"/>
          </w:tcPr>
          <w:p w14:paraId="23E67EF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265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0201002</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D4F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食品营养与健康</w:t>
            </w:r>
          </w:p>
        </w:tc>
        <w:tc>
          <w:tcPr>
            <w:tcW w:w="798" w:type="dxa"/>
            <w:vMerge w:val="continue"/>
            <w:tcBorders>
              <w:left w:val="single" w:color="000000" w:sz="4" w:space="0"/>
              <w:bottom w:val="single" w:color="000000" w:sz="4" w:space="0"/>
              <w:right w:val="single" w:color="000000" w:sz="4" w:space="0"/>
            </w:tcBorders>
            <w:shd w:val="clear" w:color="auto" w:fill="auto"/>
            <w:vAlign w:val="center"/>
          </w:tcPr>
          <w:p w14:paraId="6EE1F07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tc>
        <w:tc>
          <w:tcPr>
            <w:tcW w:w="835" w:type="dxa"/>
            <w:vMerge w:val="continue"/>
            <w:tcBorders>
              <w:left w:val="single" w:color="000000" w:sz="4" w:space="0"/>
              <w:bottom w:val="single" w:color="000000" w:sz="4" w:space="0"/>
              <w:right w:val="single" w:color="000000" w:sz="4" w:space="0"/>
            </w:tcBorders>
            <w:shd w:val="clear" w:color="auto" w:fill="auto"/>
            <w:vAlign w:val="center"/>
          </w:tcPr>
          <w:p w14:paraId="127357C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tc>
        <w:tc>
          <w:tcPr>
            <w:tcW w:w="910" w:type="dxa"/>
            <w:vMerge w:val="continue"/>
            <w:tcBorders>
              <w:left w:val="single" w:color="000000" w:sz="4" w:space="0"/>
              <w:bottom w:val="single" w:color="000000" w:sz="4" w:space="0"/>
              <w:right w:val="single" w:color="000000" w:sz="4" w:space="0"/>
            </w:tcBorders>
            <w:shd w:val="clear" w:color="auto" w:fill="auto"/>
            <w:vAlign w:val="center"/>
          </w:tcPr>
          <w:p w14:paraId="1413024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tc>
        <w:tc>
          <w:tcPr>
            <w:tcW w:w="858" w:type="dxa"/>
            <w:vMerge w:val="continue"/>
            <w:tcBorders>
              <w:left w:val="single" w:color="000000" w:sz="4" w:space="0"/>
              <w:bottom w:val="single" w:color="000000" w:sz="4" w:space="0"/>
              <w:right w:val="single" w:color="000000" w:sz="4" w:space="0"/>
            </w:tcBorders>
            <w:shd w:val="clear" w:color="auto" w:fill="auto"/>
            <w:vAlign w:val="center"/>
          </w:tcPr>
          <w:p w14:paraId="2E07363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B74C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0154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0CA9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95" w:type="dxa"/>
            <w:gridSpan w:val="2"/>
            <w:vMerge w:val="continue"/>
            <w:tcBorders>
              <w:left w:val="single" w:color="000000" w:sz="4" w:space="0"/>
              <w:bottom w:val="single" w:color="000000" w:sz="4" w:space="0"/>
              <w:right w:val="single" w:color="000000" w:sz="4" w:space="0"/>
            </w:tcBorders>
            <w:shd w:val="clear" w:color="auto" w:fill="auto"/>
            <w:vAlign w:val="center"/>
          </w:tcPr>
          <w:p w14:paraId="319E4E3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7419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ED5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vMerge w:val="continue"/>
            <w:tcBorders>
              <w:left w:val="single" w:color="000000" w:sz="4" w:space="0"/>
              <w:bottom w:val="single" w:color="000000" w:sz="4" w:space="0"/>
              <w:right w:val="single" w:color="000000" w:sz="4" w:space="0"/>
            </w:tcBorders>
            <w:shd w:val="clear" w:color="auto" w:fill="auto"/>
            <w:vAlign w:val="center"/>
          </w:tcPr>
          <w:p w14:paraId="6B34FB0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562B547C">
        <w:tblPrEx>
          <w:tblCellMar>
            <w:top w:w="0" w:type="dxa"/>
            <w:left w:w="108" w:type="dxa"/>
            <w:bottom w:w="0" w:type="dxa"/>
            <w:right w:w="108" w:type="dxa"/>
          </w:tblCellMar>
        </w:tblPrEx>
        <w:trPr>
          <w:trHeight w:val="386" w:hRule="atLeast"/>
          <w:jc w:val="center"/>
        </w:trPr>
        <w:tc>
          <w:tcPr>
            <w:tcW w:w="767" w:type="dxa"/>
            <w:vMerge w:val="continue"/>
            <w:tcBorders>
              <w:left w:val="single" w:color="000000" w:sz="4" w:space="0"/>
              <w:bottom w:val="single" w:color="000000" w:sz="4" w:space="0"/>
              <w:right w:val="single" w:color="000000" w:sz="4" w:space="0"/>
            </w:tcBorders>
            <w:shd w:val="clear" w:color="auto" w:fill="auto"/>
            <w:vAlign w:val="center"/>
          </w:tcPr>
          <w:p w14:paraId="3F46C06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08FC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427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6</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4A0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96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CFF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88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F4A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8</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BEEE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C224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7CB0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BA2A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3</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13DC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2C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B5A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3FA33AC6">
        <w:tblPrEx>
          <w:tblCellMar>
            <w:top w:w="0" w:type="dxa"/>
            <w:left w:w="108" w:type="dxa"/>
            <w:bottom w:w="0" w:type="dxa"/>
            <w:right w:w="108" w:type="dxa"/>
          </w:tblCellMar>
        </w:tblPrEx>
        <w:trPr>
          <w:trHeight w:val="386"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A7B9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素质拓展课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C75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08000001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371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入学教育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B0F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68E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75D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063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CC30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03D8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3012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BF72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2DC3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9C7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5C3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22601421">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0513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57C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08000007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EDE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思想成长</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C2F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CF3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345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2EC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8A62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C32E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A28A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03AC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7D61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675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939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433D011B">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CD57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F65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08000012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B7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社会实践、志愿公益</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B92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7E4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32</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896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2F0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32</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A73D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577D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0E7D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61C1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8E50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5C1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266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3ECDD45D">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9A2E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E8C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08000013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4E9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文体社团活动</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03B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179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1F1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237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B54C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1981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B2A7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6555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0B14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069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F72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085419A3">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BED2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D13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08000056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D82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技能特长</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285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7A1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307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830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19D6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C8B0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E15D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A03E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70EA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1A0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5E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6CE64246">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7615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2B7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08000014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A33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学生工作履历</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5C0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17D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DFB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00A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CCD7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7CBA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1C68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C4D1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04D6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4E1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0F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762C9B82">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86C5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B80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08000015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57F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创新创业</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A50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1A6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C60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D0B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7BAE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742E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C5C3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5031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06E3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4FD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535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6040374F">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8ED3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B6B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08000016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FC3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特色模块</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E20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049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DEF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8D1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ADF5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7E1C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BAFC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75B7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2B94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FCA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60F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5953C8E2">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4D0E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C4C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08000017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DD6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健康教育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64B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60B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16</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381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DF5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AEC1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05FF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19C7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1068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6B64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E4E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21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187C3F99">
        <w:tblPrEx>
          <w:tblCellMar>
            <w:top w:w="0" w:type="dxa"/>
            <w:left w:w="108" w:type="dxa"/>
            <w:bottom w:w="0" w:type="dxa"/>
            <w:right w:w="108" w:type="dxa"/>
          </w:tblCellMar>
        </w:tblPrEx>
        <w:trPr>
          <w:trHeight w:val="386"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C0BE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7AE1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小计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37B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D7A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64</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DE9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61C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64</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01FD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0.8</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DFBC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0.8</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CAC8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0.8</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DAE4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0.8</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DA8D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FA6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380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08A1D707">
        <w:tblPrEx>
          <w:tblCellMar>
            <w:top w:w="0" w:type="dxa"/>
            <w:left w:w="108" w:type="dxa"/>
            <w:bottom w:w="0" w:type="dxa"/>
            <w:right w:w="108" w:type="dxa"/>
          </w:tblCellMar>
        </w:tblPrEx>
        <w:trPr>
          <w:trHeight w:val="386" w:hRule="atLeast"/>
          <w:jc w:val="center"/>
        </w:trPr>
        <w:tc>
          <w:tcPr>
            <w:tcW w:w="4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ED0F9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合计及周学时</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8AA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eastAsiaTheme="minorEastAsia" w:cstheme="minorEastAsia"/>
                <w:color w:val="FF0000"/>
                <w:sz w:val="21"/>
                <w:szCs w:val="21"/>
                <w:highlight w:val="none"/>
                <w:lang w:val="en-US" w:eastAsia="zh-CN"/>
              </w:rPr>
              <w:t>142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19C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eastAsiaTheme="minorEastAsia" w:cstheme="minorEastAsia"/>
                <w:color w:val="FF0000"/>
                <w:sz w:val="21"/>
                <w:szCs w:val="21"/>
                <w:highlight w:val="none"/>
                <w:lang w:val="en-US" w:eastAsia="zh-CN"/>
              </w:rPr>
              <w:t>2698</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943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eastAsiaTheme="minorEastAsia" w:cstheme="minorEastAsia"/>
                <w:color w:val="FF0000"/>
                <w:sz w:val="21"/>
                <w:szCs w:val="21"/>
                <w:highlight w:val="none"/>
                <w:lang w:val="en-US" w:eastAsia="zh-CN"/>
              </w:rPr>
              <w:t>1182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940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eastAsiaTheme="minorEastAsia" w:cstheme="minorEastAsia"/>
                <w:color w:val="FF0000"/>
                <w:sz w:val="21"/>
                <w:szCs w:val="21"/>
                <w:highlight w:val="none"/>
                <w:lang w:val="en-US" w:eastAsia="zh-CN"/>
              </w:rPr>
              <w:t>1516</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7967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25.8</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38F3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29.8</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C29B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24.3</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94D8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20.3</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55DF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18.8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379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highlight w:val="none"/>
                <w:lang w:val="en-US" w:eastAsia="zh-CN"/>
              </w:rPr>
            </w:pPr>
            <w:r>
              <w:rPr>
                <w:rFonts w:hint="eastAsia" w:asciiTheme="minorEastAsia" w:hAnsiTheme="minorEastAsia" w:eastAsiaTheme="minorEastAsia" w:cstheme="minorEastAsia"/>
                <w:color w:val="FF0000"/>
                <w:sz w:val="21"/>
                <w:szCs w:val="21"/>
                <w:highlight w:val="none"/>
                <w:lang w:val="en-US" w:eastAsia="zh-CN"/>
              </w:rPr>
              <w:t>22.5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F42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none"/>
                <w:lang w:val="en-US" w:eastAsia="zh-CN"/>
              </w:rPr>
            </w:pPr>
          </w:p>
        </w:tc>
      </w:tr>
      <w:tr w14:paraId="27B87B8B">
        <w:tblPrEx>
          <w:tblCellMar>
            <w:top w:w="0" w:type="dxa"/>
            <w:left w:w="108" w:type="dxa"/>
            <w:bottom w:w="0" w:type="dxa"/>
            <w:right w:w="108" w:type="dxa"/>
          </w:tblCellMar>
        </w:tblPrEx>
        <w:trPr>
          <w:trHeight w:val="369" w:hRule="atLeast"/>
          <w:jc w:val="center"/>
        </w:trPr>
        <w:tc>
          <w:tcPr>
            <w:tcW w:w="4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2439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总学分/总课时</w:t>
            </w:r>
          </w:p>
        </w:tc>
        <w:tc>
          <w:tcPr>
            <w:tcW w:w="951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C4E8D6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142/2698</w:t>
            </w:r>
          </w:p>
        </w:tc>
      </w:tr>
    </w:tbl>
    <w:p w14:paraId="2C39B416">
      <w:pPr>
        <w:pageBreakBefore w:val="0"/>
        <w:kinsoku/>
        <w:wordWrap/>
        <w:overflowPunct/>
        <w:topLinePunct w:val="0"/>
        <w:autoSpaceDE/>
        <w:autoSpaceDN/>
        <w:bidi w:val="0"/>
        <w:spacing w:line="360" w:lineRule="auto"/>
        <w:ind w:left="0" w:right="0" w:rightChars="0" w:firstLine="1446"/>
        <w:jc w:val="center"/>
        <w:rPr>
          <w:rFonts w:ascii="Times New Roman" w:hAnsi="Times New Roman" w:eastAsia="仿宋_GB2312" w:cs="Times New Roman"/>
          <w:kern w:val="2"/>
          <w:sz w:val="21"/>
          <w:szCs w:val="24"/>
          <w:lang w:val="en-US" w:eastAsia="zh-CN" w:bidi="ar-SA"/>
        </w:rPr>
      </w:pPr>
    </w:p>
    <w:p w14:paraId="6932EF89">
      <w:pPr>
        <w:pageBreakBefore w:val="0"/>
        <w:kinsoku/>
        <w:wordWrap/>
        <w:overflowPunct/>
        <w:topLinePunct w:val="0"/>
        <w:autoSpaceDE/>
        <w:autoSpaceDN/>
        <w:bidi w:val="0"/>
        <w:adjustRightInd w:val="0"/>
        <w:snapToGrid w:val="0"/>
        <w:spacing w:line="360" w:lineRule="auto"/>
        <w:ind w:left="0" w:right="0" w:rightChars="0"/>
        <w:rPr>
          <w:rFonts w:hint="eastAsia" w:asciiTheme="majorEastAsia" w:hAnsiTheme="majorEastAsia" w:eastAsiaTheme="majorEastAsia" w:cstheme="majorEastAsia"/>
          <w:b/>
          <w:bCs/>
          <w:sz w:val="18"/>
          <w:lang w:val="en-US" w:eastAsia="zh-CN"/>
        </w:rPr>
      </w:pPr>
      <w:r>
        <w:rPr>
          <w:rFonts w:hint="eastAsia" w:asciiTheme="majorEastAsia" w:hAnsiTheme="majorEastAsia" w:eastAsiaTheme="majorEastAsia" w:cstheme="majorEastAsia"/>
          <w:b/>
          <w:bCs/>
          <w:sz w:val="18"/>
        </w:rPr>
        <w:t>说明：★表示考试，其余为考查；w 表示集中实践教学周；√表示</w:t>
      </w:r>
      <w:r>
        <w:rPr>
          <w:rFonts w:hint="eastAsia" w:asciiTheme="majorEastAsia" w:hAnsiTheme="majorEastAsia" w:eastAsiaTheme="majorEastAsia" w:cstheme="majorEastAsia"/>
          <w:b/>
          <w:bCs/>
          <w:sz w:val="18"/>
          <w:lang w:val="en-US" w:eastAsia="zh-CN"/>
        </w:rPr>
        <w:t>课程开设学期。</w:t>
      </w:r>
    </w:p>
    <w:p w14:paraId="301591E9">
      <w:pPr>
        <w:pageBreakBefore w:val="0"/>
        <w:kinsoku/>
        <w:wordWrap/>
        <w:overflowPunct/>
        <w:topLinePunct w:val="0"/>
        <w:autoSpaceDE/>
        <w:autoSpaceDN/>
        <w:bidi w:val="0"/>
        <w:spacing w:line="360" w:lineRule="auto"/>
        <w:ind w:left="0" w:leftChars="0" w:right="0" w:rightChars="0" w:firstLine="0" w:firstLineChars="0"/>
        <w:jc w:val="left"/>
        <w:rPr>
          <w:rFonts w:eastAsia="Times New Roman"/>
          <w:sz w:val="18"/>
        </w:rPr>
        <w:sectPr>
          <w:footerReference r:id="rId10" w:type="default"/>
          <w:pgSz w:w="16838" w:h="11911" w:orient="landscape"/>
          <w:pgMar w:top="1417" w:right="1417" w:bottom="1417" w:left="1179" w:header="879" w:footer="998" w:gutter="0"/>
          <w:pgBorders>
            <w:top w:val="none" w:sz="0" w:space="0"/>
            <w:left w:val="none" w:sz="0" w:space="0"/>
            <w:bottom w:val="none" w:sz="0" w:space="0"/>
            <w:right w:val="none" w:sz="0" w:space="0"/>
          </w:pgBorders>
          <w:pgNumType w:fmt="decimal"/>
          <w:cols w:space="0" w:num="1"/>
          <w:rtlGutter w:val="0"/>
          <w:docGrid w:linePitch="0" w:charSpace="0"/>
        </w:sectPr>
      </w:pPr>
    </w:p>
    <w:p w14:paraId="0592003D">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65" w:name="_Toc12855"/>
      <w:bookmarkStart w:id="66" w:name="_Toc703"/>
      <w:bookmarkStart w:id="67" w:name="_Toc126321787"/>
      <w:r>
        <w:rPr>
          <w:rFonts w:hint="eastAsia" w:asciiTheme="minorEastAsia" w:hAnsiTheme="minorEastAsia" w:eastAsiaTheme="minorEastAsia" w:cstheme="minorEastAsia"/>
          <w:sz w:val="28"/>
          <w:szCs w:val="28"/>
          <w:lang w:val="en-US" w:eastAsia="zh-CN"/>
        </w:rPr>
        <w:t>（二）实践教学计划表</w:t>
      </w:r>
      <w:bookmarkEnd w:id="65"/>
      <w:bookmarkEnd w:id="66"/>
      <w:bookmarkEnd w:id="67"/>
    </w:p>
    <w:p w14:paraId="06D5C3A4">
      <w:pPr>
        <w:pageBreakBefore w:val="0"/>
        <w:kinsoku/>
        <w:wordWrap/>
        <w:overflowPunct/>
        <w:topLinePunct w:val="0"/>
        <w:autoSpaceDE/>
        <w:autoSpaceDN/>
        <w:bidi w:val="0"/>
        <w:spacing w:line="360" w:lineRule="auto"/>
        <w:ind w:left="0" w:right="0" w:rightChars="0"/>
        <w:rPr>
          <w:rFonts w:hint="eastAsia"/>
          <w:sz w:val="24"/>
          <w:szCs w:val="22"/>
          <w:highlight w:val="none"/>
        </w:rPr>
      </w:pPr>
      <w:r>
        <w:rPr>
          <w:rFonts w:hint="eastAsia"/>
          <w:sz w:val="24"/>
          <w:szCs w:val="22"/>
          <w:highlight w:val="none"/>
        </w:rPr>
        <w:t>以契合行业发展、促进就业能力为导向，以综合职业能力为主线，结合专业实际，按照由简单到复杂，由单一到综合，由基础到拓展创新依次递进的原则，将专业群实践教学环节进行整体设计。</w:t>
      </w:r>
    </w:p>
    <w:p w14:paraId="724ED18A">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2"/>
          <w:szCs w:val="18"/>
        </w:rPr>
      </w:pPr>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3</w:t>
      </w:r>
      <w:r>
        <w:rPr>
          <w:rFonts w:hint="eastAsia" w:ascii="宋体" w:hAnsi="宋体" w:cs="宋体"/>
          <w:b/>
          <w:sz w:val="22"/>
          <w:szCs w:val="18"/>
        </w:rPr>
        <w:t xml:space="preserve">  实践教学计划表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55"/>
        <w:gridCol w:w="984"/>
        <w:gridCol w:w="697"/>
        <w:gridCol w:w="771"/>
        <w:gridCol w:w="2296"/>
        <w:gridCol w:w="2146"/>
        <w:gridCol w:w="1193"/>
      </w:tblGrid>
      <w:tr w14:paraId="63CB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21" w:type="pct"/>
            <w:shd w:val="clear" w:color="auto" w:fill="B8CCE4" w:themeFill="accent1" w:themeFillTint="66"/>
            <w:tcMar>
              <w:top w:w="30" w:type="dxa"/>
              <w:left w:w="45" w:type="dxa"/>
              <w:bottom w:w="30" w:type="dxa"/>
              <w:right w:w="45" w:type="dxa"/>
            </w:tcMar>
            <w:vAlign w:val="center"/>
          </w:tcPr>
          <w:p w14:paraId="52741FB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bookmarkStart w:id="68" w:name="_Toc31634"/>
            <w:r>
              <w:rPr>
                <w:rFonts w:hint="eastAsia" w:asciiTheme="minorEastAsia" w:hAnsiTheme="minorEastAsia" w:eastAsiaTheme="minorEastAsia" w:cstheme="minorEastAsia"/>
                <w:sz w:val="21"/>
                <w:szCs w:val="21"/>
                <w:lang w:val="en-US" w:eastAsia="zh-CN"/>
              </w:rPr>
              <w:t>序号</w:t>
            </w:r>
          </w:p>
          <w:bookmarkEnd w:id="68"/>
        </w:tc>
        <w:tc>
          <w:tcPr>
            <w:tcW w:w="569" w:type="pct"/>
            <w:shd w:val="clear" w:color="auto" w:fill="B8CCE4" w:themeFill="accent1" w:themeFillTint="66"/>
            <w:tcMar>
              <w:top w:w="30" w:type="dxa"/>
              <w:left w:w="45" w:type="dxa"/>
              <w:bottom w:w="30" w:type="dxa"/>
              <w:right w:w="45" w:type="dxa"/>
            </w:tcMar>
            <w:vAlign w:val="center"/>
          </w:tcPr>
          <w:p w14:paraId="338FCE28">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实践教学项目</w:t>
            </w:r>
          </w:p>
        </w:tc>
        <w:tc>
          <w:tcPr>
            <w:tcW w:w="403" w:type="pct"/>
            <w:shd w:val="clear" w:color="auto" w:fill="B8CCE4" w:themeFill="accent1" w:themeFillTint="66"/>
            <w:tcMar>
              <w:top w:w="30" w:type="dxa"/>
              <w:left w:w="45" w:type="dxa"/>
              <w:bottom w:w="30" w:type="dxa"/>
              <w:right w:w="45" w:type="dxa"/>
            </w:tcMar>
            <w:vAlign w:val="center"/>
          </w:tcPr>
          <w:p w14:paraId="3EC20E10">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bookmarkStart w:id="69" w:name="_Toc30632"/>
            <w:r>
              <w:rPr>
                <w:rFonts w:hint="eastAsia" w:asciiTheme="minorEastAsia" w:hAnsiTheme="minorEastAsia" w:eastAsiaTheme="minorEastAsia" w:cstheme="minorEastAsia"/>
                <w:sz w:val="21"/>
                <w:szCs w:val="21"/>
                <w:lang w:val="en-US" w:eastAsia="zh-CN"/>
              </w:rPr>
              <w:t>学期</w:t>
            </w:r>
          </w:p>
        </w:tc>
        <w:tc>
          <w:tcPr>
            <w:tcW w:w="446" w:type="pct"/>
            <w:shd w:val="clear" w:color="auto" w:fill="B8CCE4" w:themeFill="accent1" w:themeFillTint="66"/>
            <w:tcMar>
              <w:top w:w="30" w:type="dxa"/>
              <w:left w:w="45" w:type="dxa"/>
              <w:bottom w:w="30" w:type="dxa"/>
              <w:right w:w="45" w:type="dxa"/>
            </w:tcMar>
            <w:vAlign w:val="center"/>
          </w:tcPr>
          <w:p w14:paraId="3B31CC0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周数/学时</w:t>
            </w:r>
          </w:p>
        </w:tc>
        <w:tc>
          <w:tcPr>
            <w:tcW w:w="1328" w:type="pct"/>
            <w:shd w:val="clear" w:color="auto" w:fill="B8CCE4" w:themeFill="accent1" w:themeFillTint="66"/>
            <w:tcMar>
              <w:top w:w="30" w:type="dxa"/>
              <w:left w:w="45" w:type="dxa"/>
              <w:bottom w:w="30" w:type="dxa"/>
              <w:right w:w="45" w:type="dxa"/>
            </w:tcMar>
            <w:vAlign w:val="center"/>
          </w:tcPr>
          <w:p w14:paraId="584B1CF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实践目标</w:t>
            </w:r>
            <w:bookmarkEnd w:id="69"/>
          </w:p>
        </w:tc>
        <w:tc>
          <w:tcPr>
            <w:tcW w:w="1241" w:type="pct"/>
            <w:shd w:val="clear" w:color="auto" w:fill="B8CCE4" w:themeFill="accent1" w:themeFillTint="66"/>
            <w:tcMar>
              <w:top w:w="30" w:type="dxa"/>
              <w:left w:w="45" w:type="dxa"/>
              <w:bottom w:w="30" w:type="dxa"/>
              <w:right w:w="45" w:type="dxa"/>
            </w:tcMar>
            <w:vAlign w:val="center"/>
          </w:tcPr>
          <w:p w14:paraId="1460594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rPr>
            </w:pPr>
            <w:bookmarkStart w:id="70" w:name="_Toc30149"/>
            <w:r>
              <w:rPr>
                <w:rFonts w:hint="eastAsia" w:asciiTheme="minorEastAsia" w:hAnsiTheme="minorEastAsia" w:eastAsiaTheme="minorEastAsia" w:cstheme="minorEastAsia"/>
                <w:sz w:val="21"/>
                <w:szCs w:val="21"/>
              </w:rPr>
              <w:t>实践内容</w:t>
            </w:r>
            <w:bookmarkEnd w:id="70"/>
          </w:p>
        </w:tc>
        <w:tc>
          <w:tcPr>
            <w:tcW w:w="690" w:type="pct"/>
            <w:shd w:val="clear" w:color="auto" w:fill="B8CCE4" w:themeFill="accent1" w:themeFillTint="66"/>
            <w:tcMar>
              <w:top w:w="30" w:type="dxa"/>
              <w:left w:w="45" w:type="dxa"/>
              <w:bottom w:w="30" w:type="dxa"/>
              <w:right w:w="45" w:type="dxa"/>
            </w:tcMar>
            <w:vAlign w:val="center"/>
          </w:tcPr>
          <w:p w14:paraId="48ABB14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rPr>
            </w:pPr>
            <w:bookmarkStart w:id="71" w:name="_Toc23356"/>
            <w:r>
              <w:rPr>
                <w:rFonts w:hint="eastAsia" w:asciiTheme="minorEastAsia" w:hAnsiTheme="minorEastAsia" w:eastAsiaTheme="minorEastAsia" w:cstheme="minorEastAsia"/>
                <w:sz w:val="21"/>
                <w:szCs w:val="21"/>
              </w:rPr>
              <w:t>实践地点</w:t>
            </w:r>
            <w:bookmarkEnd w:id="71"/>
          </w:p>
        </w:tc>
      </w:tr>
      <w:tr w14:paraId="38F4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4336CE10">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1</w:t>
            </w:r>
          </w:p>
        </w:tc>
        <w:tc>
          <w:tcPr>
            <w:tcW w:w="569" w:type="pct"/>
            <w:shd w:val="clear" w:color="auto" w:fill="auto"/>
            <w:tcMar>
              <w:top w:w="30" w:type="dxa"/>
              <w:left w:w="45" w:type="dxa"/>
              <w:bottom w:w="30" w:type="dxa"/>
              <w:right w:w="45" w:type="dxa"/>
            </w:tcMar>
            <w:vAlign w:val="center"/>
          </w:tcPr>
          <w:p w14:paraId="25A3ED61">
            <w:pPr>
              <w:spacing w:line="360" w:lineRule="exact"/>
              <w:ind w:firstLine="0" w:firstLineChars="0"/>
              <w:jc w:val="center"/>
              <w:rPr>
                <w:rFonts w:hint="eastAsia" w:ascii="宋体" w:hAnsi="宋体" w:eastAsia="宋体" w:cs="宋体"/>
                <w:bCs/>
                <w:kern w:val="2"/>
                <w:sz w:val="21"/>
                <w:szCs w:val="21"/>
                <w:lang w:val="en-US" w:eastAsia="zh-CN" w:bidi="ar-SA"/>
              </w:rPr>
            </w:pPr>
            <w:r>
              <w:rPr>
                <w:rFonts w:hint="eastAsia" w:ascii="宋体" w:hAnsi="宋体" w:cs="宋体"/>
                <w:bCs/>
                <w:sz w:val="21"/>
                <w:szCs w:val="21"/>
              </w:rPr>
              <w:t>基础化学</w:t>
            </w:r>
          </w:p>
        </w:tc>
        <w:tc>
          <w:tcPr>
            <w:tcW w:w="403" w:type="pct"/>
            <w:shd w:val="clear" w:color="auto" w:fill="auto"/>
            <w:tcMar>
              <w:top w:w="30" w:type="dxa"/>
              <w:left w:w="45" w:type="dxa"/>
              <w:bottom w:w="30" w:type="dxa"/>
              <w:right w:w="45" w:type="dxa"/>
            </w:tcMar>
            <w:vAlign w:val="center"/>
          </w:tcPr>
          <w:p w14:paraId="5122285E">
            <w:pPr>
              <w:pStyle w:val="53"/>
              <w:spacing w:before="0" w:after="0" w:line="360" w:lineRule="exact"/>
              <w:ind w:firstLine="0" w:firstLineChars="0"/>
              <w:rPr>
                <w:rFonts w:hint="eastAsia" w:ascii="Times New Roman" w:hAnsi="Times New Roman" w:eastAsia="宋体" w:cs="Times New Roman"/>
                <w:b w:val="0"/>
                <w:bCs/>
                <w:kern w:val="2"/>
                <w:sz w:val="21"/>
                <w:szCs w:val="24"/>
                <w:lang w:val="en-US" w:eastAsia="zh-CN" w:bidi="ar-SA"/>
              </w:rPr>
            </w:pPr>
            <w:r>
              <w:rPr>
                <w:rFonts w:hint="eastAsia"/>
                <w:b w:val="0"/>
                <w:bCs/>
                <w:kern w:val="2"/>
                <w:szCs w:val="24"/>
                <w:lang w:eastAsia="zh-CN" w:bidi="ar-SA"/>
              </w:rPr>
              <w:t>1</w:t>
            </w:r>
          </w:p>
        </w:tc>
        <w:tc>
          <w:tcPr>
            <w:tcW w:w="446" w:type="pct"/>
            <w:shd w:val="clear" w:color="auto" w:fill="auto"/>
            <w:tcMar>
              <w:top w:w="30" w:type="dxa"/>
              <w:left w:w="45" w:type="dxa"/>
              <w:bottom w:w="30" w:type="dxa"/>
              <w:right w:w="45" w:type="dxa"/>
            </w:tcMar>
            <w:vAlign w:val="center"/>
          </w:tcPr>
          <w:p w14:paraId="3159E1CF">
            <w:pPr>
              <w:pStyle w:val="55"/>
              <w:spacing w:line="360" w:lineRule="exact"/>
              <w:ind w:firstLine="0" w:firstLineChars="0"/>
              <w:jc w:val="center"/>
              <w:rPr>
                <w:rFonts w:hint="default" w:ascii="Times New Roman" w:hAnsi="Times New Roman" w:eastAsia="宋体" w:cs="Times New Roman"/>
                <w:bCs/>
                <w:kern w:val="2"/>
                <w:sz w:val="21"/>
                <w:szCs w:val="24"/>
                <w:lang w:val="en-US" w:eastAsia="zh-CN" w:bidi="ar-SA"/>
              </w:rPr>
            </w:pPr>
            <w:r>
              <w:rPr>
                <w:rFonts w:hint="eastAsia"/>
                <w:bCs/>
              </w:rPr>
              <w:t>16/</w:t>
            </w:r>
            <w:r>
              <w:rPr>
                <w:rFonts w:hint="eastAsia"/>
                <w:bCs/>
                <w:lang w:val="en-US" w:eastAsia="zh-CN"/>
              </w:rPr>
              <w:t>48</w:t>
            </w:r>
          </w:p>
        </w:tc>
        <w:tc>
          <w:tcPr>
            <w:tcW w:w="1328" w:type="pct"/>
            <w:shd w:val="clear" w:color="auto" w:fill="auto"/>
            <w:tcMar>
              <w:top w:w="30" w:type="dxa"/>
              <w:left w:w="45" w:type="dxa"/>
              <w:bottom w:w="30" w:type="dxa"/>
              <w:right w:w="45" w:type="dxa"/>
            </w:tcMar>
            <w:vAlign w:val="center"/>
          </w:tcPr>
          <w:p w14:paraId="2F682CB3">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cs="宋体" w:eastAsiaTheme="minorEastAsia"/>
                <w:bCs/>
                <w:kern w:val="2"/>
                <w:sz w:val="21"/>
                <w:szCs w:val="21"/>
                <w:lang w:val="en-US" w:eastAsia="zh-CN" w:bidi="ar-SA"/>
              </w:rPr>
            </w:pPr>
            <w:r>
              <w:rPr>
                <w:rFonts w:hint="eastAsia" w:asciiTheme="minorEastAsia" w:hAnsiTheme="minorEastAsia" w:eastAsiaTheme="minorEastAsia" w:cstheme="minorEastAsia"/>
                <w:bCs/>
                <w:szCs w:val="21"/>
              </w:rPr>
              <w:t>掌握基础化学实验操作</w:t>
            </w:r>
            <w:r>
              <w:rPr>
                <w:rFonts w:hint="eastAsia" w:asciiTheme="minorEastAsia" w:hAnsiTheme="minorEastAsia" w:eastAsiaTheme="minorEastAsia" w:cstheme="minorEastAsia"/>
                <w:bCs/>
                <w:szCs w:val="21"/>
                <w:lang w:eastAsia="zh-CN"/>
              </w:rPr>
              <w:t>。</w:t>
            </w:r>
          </w:p>
        </w:tc>
        <w:tc>
          <w:tcPr>
            <w:tcW w:w="1241" w:type="pct"/>
            <w:shd w:val="clear" w:color="auto" w:fill="auto"/>
            <w:tcMar>
              <w:top w:w="30" w:type="dxa"/>
              <w:left w:w="45" w:type="dxa"/>
              <w:bottom w:w="30" w:type="dxa"/>
              <w:right w:w="45" w:type="dxa"/>
            </w:tcMar>
            <w:vAlign w:val="center"/>
          </w:tcPr>
          <w:p w14:paraId="7B942B2B">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2"/>
                <w:sz w:val="21"/>
                <w:szCs w:val="21"/>
                <w:lang w:val="en-US" w:eastAsia="zh-CN" w:bidi="ar-SA"/>
              </w:rPr>
            </w:pPr>
            <w:r>
              <w:rPr>
                <w:rFonts w:hint="eastAsia" w:asciiTheme="minorEastAsia" w:hAnsiTheme="minorEastAsia" w:eastAsiaTheme="minorEastAsia" w:cstheme="minorEastAsia"/>
                <w:bCs/>
                <w:szCs w:val="21"/>
              </w:rPr>
              <w:t>掌握有关实验技术，如物理常数测定、滴定分析、燃烧热测定、相图绘制等。</w:t>
            </w:r>
          </w:p>
        </w:tc>
        <w:tc>
          <w:tcPr>
            <w:tcW w:w="690" w:type="pct"/>
            <w:shd w:val="clear" w:color="auto" w:fill="auto"/>
            <w:tcMar>
              <w:top w:w="30" w:type="dxa"/>
              <w:left w:w="45" w:type="dxa"/>
              <w:bottom w:w="30" w:type="dxa"/>
              <w:right w:w="45" w:type="dxa"/>
            </w:tcMar>
            <w:vAlign w:val="center"/>
          </w:tcPr>
          <w:p w14:paraId="6070B7EB">
            <w:pPr>
              <w:spacing w:line="36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cs="宋体"/>
                <w:sz w:val="21"/>
                <w:szCs w:val="21"/>
              </w:rPr>
              <w:t>校内实训室</w:t>
            </w:r>
          </w:p>
        </w:tc>
      </w:tr>
      <w:tr w14:paraId="2B6B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495ACD2E">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2</w:t>
            </w:r>
          </w:p>
        </w:tc>
        <w:tc>
          <w:tcPr>
            <w:tcW w:w="569" w:type="pct"/>
            <w:shd w:val="clear" w:color="auto" w:fill="auto"/>
            <w:tcMar>
              <w:top w:w="30" w:type="dxa"/>
              <w:left w:w="45" w:type="dxa"/>
              <w:bottom w:w="30" w:type="dxa"/>
              <w:right w:w="45" w:type="dxa"/>
            </w:tcMar>
            <w:vAlign w:val="center"/>
          </w:tcPr>
          <w:p w14:paraId="252B5645">
            <w:pPr>
              <w:widowControl/>
              <w:spacing w:line="360" w:lineRule="exact"/>
              <w:ind w:firstLine="0" w:firstLineChars="0"/>
              <w:jc w:val="center"/>
              <w:textAlignment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食品生物化学</w:t>
            </w:r>
          </w:p>
        </w:tc>
        <w:tc>
          <w:tcPr>
            <w:tcW w:w="403" w:type="pct"/>
            <w:shd w:val="clear" w:color="auto" w:fill="auto"/>
            <w:tcMar>
              <w:top w:w="30" w:type="dxa"/>
              <w:left w:w="45" w:type="dxa"/>
              <w:bottom w:w="30" w:type="dxa"/>
              <w:right w:w="45" w:type="dxa"/>
            </w:tcMar>
            <w:vAlign w:val="center"/>
          </w:tcPr>
          <w:p w14:paraId="54DF0599">
            <w:pPr>
              <w:pStyle w:val="53"/>
              <w:spacing w:before="0" w:after="0" w:line="360" w:lineRule="exact"/>
              <w:ind w:firstLine="0" w:firstLineChars="0"/>
              <w:rPr>
                <w:rFonts w:hint="eastAsia" w:ascii="Times New Roman" w:hAnsi="Times New Roman" w:eastAsia="宋体" w:cs="Times New Roman"/>
                <w:b w:val="0"/>
                <w:bCs/>
                <w:kern w:val="2"/>
                <w:sz w:val="21"/>
                <w:szCs w:val="24"/>
                <w:lang w:val="en-US" w:eastAsia="zh-CN" w:bidi="ar-SA"/>
              </w:rPr>
            </w:pPr>
            <w:r>
              <w:rPr>
                <w:rFonts w:hint="eastAsia"/>
                <w:b w:val="0"/>
                <w:bCs/>
                <w:kern w:val="2"/>
                <w:szCs w:val="24"/>
                <w:lang w:eastAsia="zh-CN" w:bidi="ar-SA"/>
              </w:rPr>
              <w:t>2</w:t>
            </w:r>
          </w:p>
        </w:tc>
        <w:tc>
          <w:tcPr>
            <w:tcW w:w="446" w:type="pct"/>
            <w:shd w:val="clear" w:color="auto" w:fill="auto"/>
            <w:tcMar>
              <w:top w:w="30" w:type="dxa"/>
              <w:left w:w="45" w:type="dxa"/>
              <w:bottom w:w="30" w:type="dxa"/>
              <w:right w:w="45" w:type="dxa"/>
            </w:tcMar>
            <w:vAlign w:val="center"/>
          </w:tcPr>
          <w:p w14:paraId="4D1AF071">
            <w:pPr>
              <w:pStyle w:val="55"/>
              <w:spacing w:line="360" w:lineRule="exact"/>
              <w:ind w:firstLine="0" w:firstLineChars="0"/>
              <w:jc w:val="center"/>
              <w:rPr>
                <w:rFonts w:hint="default" w:ascii="Times New Roman" w:hAnsi="Times New Roman" w:eastAsia="宋体" w:cs="Times New Roman"/>
                <w:bCs/>
                <w:kern w:val="2"/>
                <w:sz w:val="21"/>
                <w:szCs w:val="24"/>
                <w:lang w:val="en-US" w:eastAsia="zh-CN" w:bidi="ar-SA"/>
              </w:rPr>
            </w:pPr>
            <w:r>
              <w:rPr>
                <w:rFonts w:hint="eastAsia"/>
                <w:bCs/>
              </w:rPr>
              <w:t>16/</w:t>
            </w:r>
            <w:r>
              <w:rPr>
                <w:rFonts w:hint="eastAsia"/>
                <w:bCs/>
                <w:lang w:val="en-US" w:eastAsia="zh-CN"/>
              </w:rPr>
              <w:t>32</w:t>
            </w:r>
          </w:p>
        </w:tc>
        <w:tc>
          <w:tcPr>
            <w:tcW w:w="1328" w:type="pct"/>
            <w:shd w:val="clear" w:color="auto" w:fill="auto"/>
            <w:tcMar>
              <w:top w:w="30" w:type="dxa"/>
              <w:left w:w="45" w:type="dxa"/>
              <w:bottom w:w="30" w:type="dxa"/>
              <w:right w:w="45" w:type="dxa"/>
            </w:tcMar>
            <w:vAlign w:val="center"/>
          </w:tcPr>
          <w:p w14:paraId="09CCFCB6">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Cs/>
                <w:kern w:val="2"/>
                <w:sz w:val="21"/>
                <w:szCs w:val="21"/>
                <w:lang w:val="en-US" w:eastAsia="zh-CN" w:bidi="ar-SA"/>
              </w:rPr>
            </w:pPr>
            <w:r>
              <w:rPr>
                <w:rFonts w:hint="eastAsia" w:ascii="宋体" w:hAnsi="宋体" w:cs="宋体"/>
                <w:bCs/>
                <w:szCs w:val="21"/>
              </w:rPr>
              <w:t>掌握食品及原料的化学组成、性质、结构、功能；了解食品加工贮运过程中的化学变化及食品“色香味”化学；培养学生严谨的作风和安全意识。</w:t>
            </w:r>
          </w:p>
        </w:tc>
        <w:tc>
          <w:tcPr>
            <w:tcW w:w="1241" w:type="pct"/>
            <w:shd w:val="clear" w:color="auto" w:fill="auto"/>
            <w:tcMar>
              <w:top w:w="30" w:type="dxa"/>
              <w:left w:w="45" w:type="dxa"/>
              <w:bottom w:w="30" w:type="dxa"/>
              <w:right w:w="45" w:type="dxa"/>
            </w:tcMar>
            <w:vAlign w:val="center"/>
          </w:tcPr>
          <w:p w14:paraId="28BA1B73">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Cs/>
                <w:kern w:val="2"/>
                <w:sz w:val="21"/>
                <w:szCs w:val="21"/>
                <w:lang w:val="en-US" w:eastAsia="zh-CN" w:bidi="ar-SA"/>
              </w:rPr>
            </w:pPr>
            <w:r>
              <w:rPr>
                <w:rFonts w:hint="eastAsia" w:ascii="宋体" w:hAnsi="宋体" w:cs="宋体"/>
                <w:bCs/>
                <w:szCs w:val="21"/>
              </w:rPr>
              <w:t>食品化学的基本知识和技能。包括：营养成分化学、食品加工储运中的化学变化、代谢及色香味化学。</w:t>
            </w:r>
          </w:p>
        </w:tc>
        <w:tc>
          <w:tcPr>
            <w:tcW w:w="690" w:type="pct"/>
            <w:shd w:val="clear" w:color="auto" w:fill="auto"/>
            <w:tcMar>
              <w:top w:w="30" w:type="dxa"/>
              <w:left w:w="45" w:type="dxa"/>
              <w:bottom w:w="30" w:type="dxa"/>
              <w:right w:w="45" w:type="dxa"/>
            </w:tcMar>
            <w:vAlign w:val="center"/>
          </w:tcPr>
          <w:p w14:paraId="7800B48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rPr>
              <w:t>校内实训室</w:t>
            </w:r>
          </w:p>
        </w:tc>
      </w:tr>
      <w:tr w14:paraId="7AFA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1428359F">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3</w:t>
            </w:r>
          </w:p>
        </w:tc>
        <w:tc>
          <w:tcPr>
            <w:tcW w:w="569" w:type="pct"/>
            <w:shd w:val="clear" w:color="auto" w:fill="auto"/>
            <w:tcMar>
              <w:top w:w="30" w:type="dxa"/>
              <w:left w:w="45" w:type="dxa"/>
              <w:bottom w:w="30" w:type="dxa"/>
              <w:right w:w="45" w:type="dxa"/>
            </w:tcMar>
            <w:vAlign w:val="center"/>
          </w:tcPr>
          <w:p w14:paraId="149F96B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食品微生物基础</w:t>
            </w:r>
          </w:p>
        </w:tc>
        <w:tc>
          <w:tcPr>
            <w:tcW w:w="403" w:type="pct"/>
            <w:shd w:val="clear" w:color="auto" w:fill="auto"/>
            <w:tcMar>
              <w:top w:w="30" w:type="dxa"/>
              <w:left w:w="45" w:type="dxa"/>
              <w:bottom w:w="30" w:type="dxa"/>
              <w:right w:w="45" w:type="dxa"/>
            </w:tcMar>
            <w:vAlign w:val="center"/>
          </w:tcPr>
          <w:p w14:paraId="7E4B6867">
            <w:pPr>
              <w:pStyle w:val="53"/>
              <w:spacing w:before="0" w:after="0" w:line="360" w:lineRule="exact"/>
              <w:ind w:firstLine="0" w:firstLineChars="0"/>
              <w:rPr>
                <w:rFonts w:hint="eastAsia" w:ascii="Times New Roman" w:hAnsi="Times New Roman" w:eastAsia="宋体" w:cs="Times New Roman"/>
                <w:b w:val="0"/>
                <w:bCs/>
                <w:kern w:val="2"/>
                <w:sz w:val="21"/>
                <w:szCs w:val="24"/>
                <w:lang w:val="en-US" w:eastAsia="zh-CN" w:bidi="ar-SA"/>
              </w:rPr>
            </w:pPr>
            <w:r>
              <w:rPr>
                <w:rFonts w:hint="eastAsia"/>
                <w:b w:val="0"/>
                <w:bCs/>
                <w:kern w:val="2"/>
                <w:szCs w:val="24"/>
                <w:lang w:eastAsia="zh-CN" w:bidi="ar-SA"/>
              </w:rPr>
              <w:t>2</w:t>
            </w:r>
          </w:p>
        </w:tc>
        <w:tc>
          <w:tcPr>
            <w:tcW w:w="446" w:type="pct"/>
            <w:shd w:val="clear" w:color="auto" w:fill="auto"/>
            <w:tcMar>
              <w:top w:w="30" w:type="dxa"/>
              <w:left w:w="45" w:type="dxa"/>
              <w:bottom w:w="30" w:type="dxa"/>
              <w:right w:w="45" w:type="dxa"/>
            </w:tcMar>
            <w:vAlign w:val="center"/>
          </w:tcPr>
          <w:p w14:paraId="3291A1AF">
            <w:pPr>
              <w:pStyle w:val="55"/>
              <w:spacing w:line="360" w:lineRule="exact"/>
              <w:ind w:firstLine="0" w:firstLineChars="0"/>
              <w:jc w:val="center"/>
              <w:rPr>
                <w:rFonts w:hint="default" w:ascii="Times New Roman" w:hAnsi="Times New Roman" w:eastAsia="宋体" w:cs="Times New Roman"/>
                <w:bCs/>
                <w:kern w:val="2"/>
                <w:sz w:val="21"/>
                <w:szCs w:val="24"/>
                <w:lang w:val="en-US" w:eastAsia="zh-CN" w:bidi="ar-SA"/>
              </w:rPr>
            </w:pPr>
            <w:r>
              <w:rPr>
                <w:rFonts w:hint="eastAsia"/>
                <w:bCs/>
              </w:rPr>
              <w:t>16/</w:t>
            </w:r>
            <w:r>
              <w:rPr>
                <w:rFonts w:hint="eastAsia"/>
                <w:bCs/>
                <w:lang w:val="en-US" w:eastAsia="zh-CN"/>
              </w:rPr>
              <w:t>64</w:t>
            </w:r>
          </w:p>
        </w:tc>
        <w:tc>
          <w:tcPr>
            <w:tcW w:w="1328" w:type="pct"/>
            <w:shd w:val="clear" w:color="auto" w:fill="auto"/>
            <w:tcMar>
              <w:top w:w="30" w:type="dxa"/>
              <w:left w:w="45" w:type="dxa"/>
              <w:bottom w:w="30" w:type="dxa"/>
              <w:right w:w="45" w:type="dxa"/>
            </w:tcMar>
            <w:vAlign w:val="center"/>
          </w:tcPr>
          <w:p w14:paraId="17388A02">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Cs/>
                <w:kern w:val="2"/>
                <w:sz w:val="21"/>
                <w:szCs w:val="21"/>
                <w:lang w:val="en-US" w:eastAsia="zh-CN" w:bidi="ar-SA"/>
              </w:rPr>
            </w:pPr>
            <w:r>
              <w:rPr>
                <w:rFonts w:hint="eastAsia" w:ascii="宋体" w:hAnsi="宋体" w:cs="宋体"/>
                <w:bCs/>
                <w:szCs w:val="21"/>
              </w:rPr>
              <w:t>掌握食品中有关微生物的检验原理与技能；能运用微生物检验技能和国家相关标准对食品中的微生物进行分析；能从事食品检验、质量控制等职业岗位工作。</w:t>
            </w:r>
          </w:p>
        </w:tc>
        <w:tc>
          <w:tcPr>
            <w:tcW w:w="1241" w:type="pct"/>
            <w:shd w:val="clear" w:color="auto" w:fill="auto"/>
            <w:tcMar>
              <w:top w:w="30" w:type="dxa"/>
              <w:left w:w="45" w:type="dxa"/>
              <w:bottom w:w="30" w:type="dxa"/>
              <w:right w:w="45" w:type="dxa"/>
            </w:tcMar>
            <w:vAlign w:val="center"/>
          </w:tcPr>
          <w:p w14:paraId="60F269E1">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Cs/>
                <w:kern w:val="2"/>
                <w:sz w:val="21"/>
                <w:szCs w:val="21"/>
                <w:lang w:val="en-US" w:eastAsia="zh-CN" w:bidi="ar-SA"/>
              </w:rPr>
            </w:pPr>
            <w:r>
              <w:rPr>
                <w:rFonts w:hint="eastAsia" w:ascii="宋体" w:hAnsi="宋体" w:cs="宋体"/>
                <w:bCs/>
                <w:szCs w:val="21"/>
              </w:rPr>
              <w:t>食品微生物与微生物检测的基本知识和技能，各类食品微生物检验技术的基本技能的训练</w:t>
            </w:r>
          </w:p>
        </w:tc>
        <w:tc>
          <w:tcPr>
            <w:tcW w:w="690" w:type="pct"/>
            <w:shd w:val="clear" w:color="auto" w:fill="auto"/>
            <w:tcMar>
              <w:top w:w="30" w:type="dxa"/>
              <w:left w:w="45" w:type="dxa"/>
              <w:bottom w:w="30" w:type="dxa"/>
              <w:right w:w="45" w:type="dxa"/>
            </w:tcMar>
            <w:vAlign w:val="center"/>
          </w:tcPr>
          <w:p w14:paraId="79385D8E">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rPr>
              <w:t>校内实训室</w:t>
            </w:r>
          </w:p>
        </w:tc>
      </w:tr>
      <w:tr w14:paraId="3775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1D7AB62C">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4</w:t>
            </w:r>
          </w:p>
        </w:tc>
        <w:tc>
          <w:tcPr>
            <w:tcW w:w="569" w:type="pct"/>
            <w:shd w:val="clear" w:color="auto" w:fill="auto"/>
            <w:tcMar>
              <w:top w:w="30" w:type="dxa"/>
              <w:left w:w="45" w:type="dxa"/>
              <w:bottom w:w="30" w:type="dxa"/>
              <w:right w:w="45" w:type="dxa"/>
            </w:tcMar>
            <w:vAlign w:val="center"/>
          </w:tcPr>
          <w:p w14:paraId="1EA1DB9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食品加工技术概论</w:t>
            </w:r>
          </w:p>
        </w:tc>
        <w:tc>
          <w:tcPr>
            <w:tcW w:w="403" w:type="pct"/>
            <w:shd w:val="clear" w:color="auto" w:fill="auto"/>
            <w:tcMar>
              <w:top w:w="30" w:type="dxa"/>
              <w:left w:w="45" w:type="dxa"/>
              <w:bottom w:w="30" w:type="dxa"/>
              <w:right w:w="45" w:type="dxa"/>
            </w:tcMar>
            <w:vAlign w:val="center"/>
          </w:tcPr>
          <w:p w14:paraId="23F4F6B9">
            <w:pPr>
              <w:pStyle w:val="53"/>
              <w:ind w:firstLine="0" w:firstLineChars="0"/>
              <w:rPr>
                <w:rFonts w:hint="eastAsia" w:ascii="Times New Roman" w:hAnsi="Times New Roman" w:eastAsia="宋体" w:cs="Times New Roman"/>
                <w:b w:val="0"/>
                <w:bCs/>
                <w:kern w:val="2"/>
                <w:sz w:val="21"/>
                <w:szCs w:val="24"/>
                <w:lang w:val="en-US" w:eastAsia="zh-CN" w:bidi="ar-SA"/>
              </w:rPr>
            </w:pPr>
            <w:r>
              <w:rPr>
                <w:rFonts w:hint="eastAsia"/>
                <w:b w:val="0"/>
                <w:bCs/>
                <w:kern w:val="2"/>
                <w:szCs w:val="24"/>
                <w:lang w:val="en-US" w:eastAsia="zh-CN" w:bidi="ar-SA"/>
              </w:rPr>
              <w:t>3</w:t>
            </w:r>
          </w:p>
        </w:tc>
        <w:tc>
          <w:tcPr>
            <w:tcW w:w="446" w:type="pct"/>
            <w:shd w:val="clear" w:color="auto" w:fill="auto"/>
            <w:tcMar>
              <w:top w:w="30" w:type="dxa"/>
              <w:left w:w="45" w:type="dxa"/>
              <w:bottom w:w="30" w:type="dxa"/>
              <w:right w:w="45" w:type="dxa"/>
            </w:tcMar>
            <w:vAlign w:val="center"/>
          </w:tcPr>
          <w:p w14:paraId="5852969A">
            <w:pPr>
              <w:pStyle w:val="53"/>
              <w:ind w:firstLine="0" w:firstLineChars="0"/>
              <w:rPr>
                <w:rFonts w:hint="default" w:ascii="Times New Roman" w:hAnsi="Times New Roman" w:eastAsia="宋体" w:cs="Times New Roman"/>
                <w:b w:val="0"/>
                <w:bCs/>
                <w:kern w:val="2"/>
                <w:sz w:val="21"/>
                <w:szCs w:val="24"/>
                <w:lang w:val="en-US" w:eastAsia="zh-CN" w:bidi="ar-SA"/>
              </w:rPr>
            </w:pPr>
            <w:r>
              <w:rPr>
                <w:rFonts w:hint="eastAsia"/>
                <w:b w:val="0"/>
                <w:bCs/>
                <w:kern w:val="2"/>
                <w:szCs w:val="24"/>
                <w:lang w:eastAsia="zh-CN" w:bidi="ar-SA"/>
              </w:rPr>
              <w:t>16/</w:t>
            </w:r>
            <w:r>
              <w:rPr>
                <w:rFonts w:hint="eastAsia"/>
                <w:b w:val="0"/>
                <w:bCs/>
                <w:kern w:val="2"/>
                <w:szCs w:val="24"/>
                <w:lang w:val="en-US" w:eastAsia="zh-CN" w:bidi="ar-SA"/>
              </w:rPr>
              <w:t>32</w:t>
            </w:r>
          </w:p>
        </w:tc>
        <w:tc>
          <w:tcPr>
            <w:tcW w:w="1328" w:type="pct"/>
            <w:shd w:val="clear" w:color="auto" w:fill="auto"/>
            <w:tcMar>
              <w:top w:w="30" w:type="dxa"/>
              <w:left w:w="45" w:type="dxa"/>
              <w:bottom w:w="30" w:type="dxa"/>
              <w:right w:w="45" w:type="dxa"/>
            </w:tcMar>
            <w:vAlign w:val="center"/>
          </w:tcPr>
          <w:p w14:paraId="02D81597">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Cs/>
                <w:kern w:val="2"/>
                <w:sz w:val="21"/>
                <w:szCs w:val="24"/>
                <w:lang w:val="en-US" w:eastAsia="zh-CN" w:bidi="ar-SA"/>
              </w:rPr>
            </w:pPr>
            <w:r>
              <w:rPr>
                <w:rFonts w:hint="eastAsia"/>
                <w:bCs/>
              </w:rPr>
              <w:t>掌握各类食品生产机械操作要点</w:t>
            </w:r>
            <w:r>
              <w:rPr>
                <w:rFonts w:hint="eastAsia"/>
                <w:bCs/>
                <w:lang w:eastAsia="zh-CN"/>
              </w:rPr>
              <w:t>。</w:t>
            </w:r>
          </w:p>
        </w:tc>
        <w:tc>
          <w:tcPr>
            <w:tcW w:w="1241" w:type="pct"/>
            <w:shd w:val="clear" w:color="auto" w:fill="auto"/>
            <w:tcMar>
              <w:top w:w="30" w:type="dxa"/>
              <w:left w:w="45" w:type="dxa"/>
              <w:bottom w:w="30" w:type="dxa"/>
              <w:right w:w="45" w:type="dxa"/>
            </w:tcMar>
            <w:vAlign w:val="center"/>
          </w:tcPr>
          <w:p w14:paraId="714504A7">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Cs/>
                <w:kern w:val="2"/>
                <w:sz w:val="21"/>
                <w:szCs w:val="24"/>
                <w:lang w:val="en-US" w:eastAsia="zh-CN" w:bidi="ar-SA"/>
              </w:rPr>
            </w:pPr>
            <w:r>
              <w:rPr>
                <w:rFonts w:hint="eastAsia"/>
                <w:bCs/>
              </w:rPr>
              <w:t>肉制品、焙烤食品、果蔬制品、乳制品生产设备及其他常见食品生产常用机械设备的操作使用、维护保养等基本操作技能。</w:t>
            </w:r>
          </w:p>
        </w:tc>
        <w:tc>
          <w:tcPr>
            <w:tcW w:w="690" w:type="pct"/>
            <w:shd w:val="clear" w:color="auto" w:fill="auto"/>
            <w:tcMar>
              <w:top w:w="30" w:type="dxa"/>
              <w:left w:w="45" w:type="dxa"/>
              <w:bottom w:w="30" w:type="dxa"/>
              <w:right w:w="45" w:type="dxa"/>
            </w:tcMar>
            <w:vAlign w:val="center"/>
          </w:tcPr>
          <w:p w14:paraId="43FA054F">
            <w:pPr>
              <w:pStyle w:val="55"/>
              <w:ind w:firstLine="0" w:firstLineChars="0"/>
              <w:jc w:val="center"/>
              <w:rPr>
                <w:rFonts w:hint="eastAsia" w:ascii="Times New Roman" w:hAnsi="Times New Roman" w:eastAsia="宋体" w:cs="Times New Roman"/>
                <w:kern w:val="2"/>
                <w:sz w:val="21"/>
                <w:szCs w:val="24"/>
                <w:lang w:val="en-US" w:eastAsia="zh-CN" w:bidi="ar-SA"/>
              </w:rPr>
            </w:pPr>
            <w:r>
              <w:rPr>
                <w:rFonts w:hint="eastAsia"/>
              </w:rPr>
              <w:t>校内实训室</w:t>
            </w:r>
          </w:p>
        </w:tc>
      </w:tr>
      <w:tr w14:paraId="2ECD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2B851292">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5</w:t>
            </w:r>
          </w:p>
        </w:tc>
        <w:tc>
          <w:tcPr>
            <w:tcW w:w="569" w:type="pct"/>
            <w:shd w:val="clear" w:color="auto" w:fill="auto"/>
            <w:tcMar>
              <w:top w:w="30" w:type="dxa"/>
              <w:left w:w="45" w:type="dxa"/>
              <w:bottom w:w="30" w:type="dxa"/>
              <w:right w:w="45" w:type="dxa"/>
            </w:tcMar>
            <w:vAlign w:val="center"/>
          </w:tcPr>
          <w:p w14:paraId="5676564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分析化学</w:t>
            </w:r>
          </w:p>
        </w:tc>
        <w:tc>
          <w:tcPr>
            <w:tcW w:w="403" w:type="pct"/>
            <w:shd w:val="clear" w:color="auto" w:fill="auto"/>
            <w:tcMar>
              <w:top w:w="30" w:type="dxa"/>
              <w:left w:w="45" w:type="dxa"/>
              <w:bottom w:w="30" w:type="dxa"/>
              <w:right w:w="45" w:type="dxa"/>
            </w:tcMar>
            <w:vAlign w:val="center"/>
          </w:tcPr>
          <w:p w14:paraId="12B351B5">
            <w:pPr>
              <w:pStyle w:val="53"/>
              <w:ind w:firstLine="0" w:firstLineChars="0"/>
              <w:rPr>
                <w:rFonts w:hint="eastAsia" w:ascii="Times New Roman" w:hAnsi="Times New Roman" w:eastAsia="宋体" w:cs="Times New Roman"/>
                <w:b w:val="0"/>
                <w:bCs/>
                <w:kern w:val="2"/>
                <w:sz w:val="21"/>
                <w:szCs w:val="24"/>
                <w:lang w:val="en-US" w:eastAsia="zh-CN" w:bidi="ar-SA"/>
              </w:rPr>
            </w:pPr>
            <w:r>
              <w:rPr>
                <w:rFonts w:hint="eastAsia"/>
                <w:b w:val="0"/>
                <w:bCs/>
                <w:kern w:val="2"/>
                <w:szCs w:val="24"/>
                <w:lang w:val="en-US" w:eastAsia="zh-CN" w:bidi="ar-SA"/>
              </w:rPr>
              <w:t>1</w:t>
            </w:r>
          </w:p>
        </w:tc>
        <w:tc>
          <w:tcPr>
            <w:tcW w:w="446" w:type="pct"/>
            <w:shd w:val="clear" w:color="auto" w:fill="auto"/>
            <w:tcMar>
              <w:top w:w="30" w:type="dxa"/>
              <w:left w:w="45" w:type="dxa"/>
              <w:bottom w:w="30" w:type="dxa"/>
              <w:right w:w="45" w:type="dxa"/>
            </w:tcMar>
            <w:vAlign w:val="center"/>
          </w:tcPr>
          <w:p w14:paraId="7FB597E3">
            <w:pPr>
              <w:pStyle w:val="53"/>
              <w:ind w:firstLine="0" w:firstLineChars="0"/>
              <w:rPr>
                <w:rFonts w:hint="default" w:ascii="Times New Roman" w:hAnsi="Times New Roman" w:eastAsia="宋体" w:cs="Times New Roman"/>
                <w:b w:val="0"/>
                <w:bCs/>
                <w:kern w:val="2"/>
                <w:sz w:val="21"/>
                <w:szCs w:val="24"/>
                <w:lang w:val="en-US" w:eastAsia="zh-CN" w:bidi="ar-SA"/>
              </w:rPr>
            </w:pPr>
            <w:r>
              <w:rPr>
                <w:rFonts w:hint="eastAsia"/>
                <w:b w:val="0"/>
                <w:bCs/>
                <w:kern w:val="2"/>
                <w:szCs w:val="24"/>
                <w:lang w:eastAsia="zh-CN" w:bidi="ar-SA"/>
              </w:rPr>
              <w:t>16/</w:t>
            </w:r>
            <w:r>
              <w:rPr>
                <w:rFonts w:hint="eastAsia"/>
                <w:b w:val="0"/>
                <w:bCs/>
                <w:kern w:val="2"/>
                <w:szCs w:val="24"/>
                <w:lang w:val="en-US" w:eastAsia="zh-CN" w:bidi="ar-SA"/>
              </w:rPr>
              <w:t>48</w:t>
            </w:r>
          </w:p>
        </w:tc>
        <w:tc>
          <w:tcPr>
            <w:tcW w:w="1328" w:type="pct"/>
            <w:shd w:val="clear" w:color="auto" w:fill="auto"/>
            <w:tcMar>
              <w:top w:w="30" w:type="dxa"/>
              <w:left w:w="45" w:type="dxa"/>
              <w:bottom w:w="30" w:type="dxa"/>
              <w:right w:w="45" w:type="dxa"/>
            </w:tcMar>
            <w:vAlign w:val="center"/>
          </w:tcPr>
          <w:p w14:paraId="6492EC57">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Cs/>
                <w:kern w:val="2"/>
                <w:sz w:val="21"/>
                <w:szCs w:val="24"/>
                <w:lang w:val="en-US" w:eastAsia="zh-CN" w:bidi="ar-SA"/>
              </w:rPr>
            </w:pPr>
            <w:r>
              <w:rPr>
                <w:rFonts w:hint="eastAsia"/>
                <w:bCs/>
              </w:rPr>
              <w:t>掌握营养缺乏病的分类、诊断和防治手段，熟悉营养过量导致的中毒、肥胖、糖尿病、心脑血管疾病等发病原因和营养防治方法。</w:t>
            </w:r>
          </w:p>
        </w:tc>
        <w:tc>
          <w:tcPr>
            <w:tcW w:w="1241" w:type="pct"/>
            <w:shd w:val="clear" w:color="auto" w:fill="auto"/>
            <w:tcMar>
              <w:top w:w="30" w:type="dxa"/>
              <w:left w:w="45" w:type="dxa"/>
              <w:bottom w:w="30" w:type="dxa"/>
              <w:right w:w="45" w:type="dxa"/>
            </w:tcMar>
            <w:vAlign w:val="center"/>
          </w:tcPr>
          <w:p w14:paraId="30DCEE95">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Cs/>
                <w:kern w:val="2"/>
                <w:sz w:val="21"/>
                <w:szCs w:val="21"/>
                <w:lang w:val="en-US" w:eastAsia="zh-CN" w:bidi="ar-SA"/>
              </w:rPr>
            </w:pPr>
            <w:r>
              <w:rPr>
                <w:bCs/>
              </w:rPr>
              <w:t>营养素缺乏病，营养素过量中毒，营养相关慢性病的流行病学、发病原因、临床表现、诊断治疗和营养防治</w:t>
            </w:r>
            <w:r>
              <w:rPr>
                <w:rFonts w:hint="eastAsia"/>
                <w:bCs/>
              </w:rPr>
              <w:t>。</w:t>
            </w:r>
          </w:p>
        </w:tc>
        <w:tc>
          <w:tcPr>
            <w:tcW w:w="690" w:type="pct"/>
            <w:shd w:val="clear" w:color="auto" w:fill="auto"/>
            <w:tcMar>
              <w:top w:w="30" w:type="dxa"/>
              <w:left w:w="45" w:type="dxa"/>
              <w:bottom w:w="30" w:type="dxa"/>
              <w:right w:w="45" w:type="dxa"/>
            </w:tcMar>
            <w:vAlign w:val="center"/>
          </w:tcPr>
          <w:p w14:paraId="696E6D18">
            <w:pPr>
              <w:pStyle w:val="55"/>
              <w:ind w:firstLine="0" w:firstLineChars="0"/>
              <w:jc w:val="center"/>
              <w:rPr>
                <w:rFonts w:hint="eastAsia" w:ascii="Times New Roman" w:hAnsi="Times New Roman" w:eastAsia="宋体" w:cs="Times New Roman"/>
                <w:kern w:val="2"/>
                <w:sz w:val="21"/>
                <w:szCs w:val="24"/>
                <w:lang w:val="en-US" w:eastAsia="zh-CN" w:bidi="ar-SA"/>
              </w:rPr>
            </w:pPr>
            <w:r>
              <w:rPr>
                <w:rFonts w:hint="eastAsia"/>
              </w:rPr>
              <w:t>校内实训室</w:t>
            </w:r>
          </w:p>
        </w:tc>
      </w:tr>
      <w:tr w14:paraId="3E12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67EBA2CC">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6</w:t>
            </w:r>
          </w:p>
        </w:tc>
        <w:tc>
          <w:tcPr>
            <w:tcW w:w="569" w:type="pct"/>
            <w:shd w:val="clear" w:color="auto" w:fill="auto"/>
            <w:tcMar>
              <w:top w:w="30" w:type="dxa"/>
              <w:left w:w="45" w:type="dxa"/>
              <w:bottom w:w="30" w:type="dxa"/>
              <w:right w:w="45" w:type="dxa"/>
            </w:tcMar>
            <w:vAlign w:val="center"/>
          </w:tcPr>
          <w:p w14:paraId="0940A867">
            <w:pPr>
              <w:spacing w:line="360" w:lineRule="exact"/>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食品营养学</w:t>
            </w:r>
          </w:p>
        </w:tc>
        <w:tc>
          <w:tcPr>
            <w:tcW w:w="403" w:type="pct"/>
            <w:shd w:val="clear" w:color="auto" w:fill="auto"/>
            <w:tcMar>
              <w:top w:w="30" w:type="dxa"/>
              <w:left w:w="45" w:type="dxa"/>
              <w:bottom w:w="30" w:type="dxa"/>
              <w:right w:w="45" w:type="dxa"/>
            </w:tcMar>
            <w:vAlign w:val="center"/>
          </w:tcPr>
          <w:p w14:paraId="0000DAB5">
            <w:pPr>
              <w:pStyle w:val="53"/>
              <w:spacing w:before="0" w:after="0" w:line="360" w:lineRule="exact"/>
              <w:ind w:firstLine="0" w:firstLineChars="0"/>
              <w:rPr>
                <w:rFonts w:hint="eastAsia" w:ascii="Times New Roman" w:hAnsi="Times New Roman" w:eastAsia="宋体" w:cs="Times New Roman"/>
                <w:b w:val="0"/>
                <w:bCs/>
                <w:kern w:val="2"/>
                <w:sz w:val="21"/>
                <w:szCs w:val="24"/>
                <w:lang w:val="en-US" w:eastAsia="zh-CN" w:bidi="ar-SA"/>
              </w:rPr>
            </w:pPr>
            <w:r>
              <w:rPr>
                <w:rFonts w:hint="eastAsia"/>
                <w:b w:val="0"/>
                <w:bCs/>
                <w:kern w:val="2"/>
                <w:szCs w:val="24"/>
                <w:lang w:val="en-US" w:eastAsia="zh-CN" w:bidi="ar-SA"/>
              </w:rPr>
              <w:t>4</w:t>
            </w:r>
          </w:p>
        </w:tc>
        <w:tc>
          <w:tcPr>
            <w:tcW w:w="446" w:type="pct"/>
            <w:shd w:val="clear" w:color="auto" w:fill="auto"/>
            <w:tcMar>
              <w:top w:w="30" w:type="dxa"/>
              <w:left w:w="45" w:type="dxa"/>
              <w:bottom w:w="30" w:type="dxa"/>
              <w:right w:w="45" w:type="dxa"/>
            </w:tcMar>
            <w:vAlign w:val="center"/>
          </w:tcPr>
          <w:p w14:paraId="4E3F4A9C">
            <w:pPr>
              <w:pStyle w:val="55"/>
              <w:spacing w:line="360" w:lineRule="exact"/>
              <w:ind w:firstLine="0" w:firstLineChars="0"/>
              <w:jc w:val="center"/>
              <w:rPr>
                <w:rFonts w:hint="default" w:ascii="Times New Roman" w:hAnsi="Times New Roman" w:eastAsia="宋体" w:cs="Times New Roman"/>
                <w:bCs/>
                <w:kern w:val="2"/>
                <w:sz w:val="21"/>
                <w:szCs w:val="24"/>
                <w:lang w:val="en-US" w:eastAsia="zh-CN" w:bidi="ar-SA"/>
              </w:rPr>
            </w:pPr>
            <w:r>
              <w:rPr>
                <w:rFonts w:hint="eastAsia"/>
                <w:bCs/>
              </w:rPr>
              <w:t>16/</w:t>
            </w:r>
            <w:r>
              <w:rPr>
                <w:rFonts w:hint="eastAsia"/>
                <w:bCs/>
                <w:lang w:val="en-US" w:eastAsia="zh-CN"/>
              </w:rPr>
              <w:t>32</w:t>
            </w:r>
          </w:p>
        </w:tc>
        <w:tc>
          <w:tcPr>
            <w:tcW w:w="1328" w:type="pct"/>
            <w:shd w:val="clear" w:color="auto" w:fill="auto"/>
            <w:tcMar>
              <w:top w:w="30" w:type="dxa"/>
              <w:left w:w="45" w:type="dxa"/>
              <w:bottom w:w="30" w:type="dxa"/>
              <w:right w:w="45" w:type="dxa"/>
            </w:tcMar>
            <w:vAlign w:val="center"/>
          </w:tcPr>
          <w:p w14:paraId="1A86F2F4">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2"/>
                <w:sz w:val="21"/>
                <w:szCs w:val="21"/>
                <w:lang w:val="en-US" w:eastAsia="zh-CN" w:bidi="ar-SA"/>
              </w:rPr>
            </w:pPr>
            <w:r>
              <w:rPr>
                <w:rFonts w:hint="eastAsia"/>
                <w:bCs/>
              </w:rPr>
              <w:t>掌握食品合规管理的主要内容，熟悉我国食品安全法律法规分类，掌握食品生产经营过程合规管理的主要标准法规要求、内容与方法，掌握无公害农产品认定、绿色食品标志许可、有机产品认证、农产品地理标志登记相关的法律法规要求和办理流程。</w:t>
            </w:r>
          </w:p>
        </w:tc>
        <w:tc>
          <w:tcPr>
            <w:tcW w:w="1241" w:type="pct"/>
            <w:shd w:val="clear" w:color="auto" w:fill="auto"/>
            <w:tcMar>
              <w:top w:w="30" w:type="dxa"/>
              <w:left w:w="45" w:type="dxa"/>
              <w:bottom w:w="30" w:type="dxa"/>
              <w:right w:w="45" w:type="dxa"/>
            </w:tcMar>
            <w:vAlign w:val="center"/>
          </w:tcPr>
          <w:p w14:paraId="2869655B">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bCs/>
                <w:kern w:val="2"/>
                <w:sz w:val="21"/>
                <w:szCs w:val="21"/>
                <w:lang w:val="en-US" w:eastAsia="zh-CN" w:bidi="ar-SA"/>
              </w:rPr>
            </w:pPr>
            <w:r>
              <w:rPr>
                <w:bCs/>
              </w:rPr>
              <w:t>食品合规管理体系概述、食品合规标法义务及监管</w:t>
            </w:r>
            <w:r>
              <w:rPr>
                <w:rFonts w:hint="eastAsia"/>
                <w:bCs/>
              </w:rPr>
              <w:t>、</w:t>
            </w:r>
            <w:r>
              <w:rPr>
                <w:bCs/>
              </w:rPr>
              <w:t>食品生产经营资质合规管理、食品生产经营过程合规管理、产品合规管理、食品进出口合规管理</w:t>
            </w:r>
            <w:r>
              <w:rPr>
                <w:rFonts w:hint="eastAsia"/>
                <w:bCs/>
              </w:rPr>
              <w:t>、</w:t>
            </w:r>
            <w:r>
              <w:rPr>
                <w:bCs/>
              </w:rPr>
              <w:t>产品及管理体系认证、食品合规风险管理、食品合规管理体系验证。</w:t>
            </w:r>
          </w:p>
        </w:tc>
        <w:tc>
          <w:tcPr>
            <w:tcW w:w="690" w:type="pct"/>
            <w:shd w:val="clear" w:color="auto" w:fill="auto"/>
            <w:tcMar>
              <w:top w:w="30" w:type="dxa"/>
              <w:left w:w="45" w:type="dxa"/>
              <w:bottom w:w="30" w:type="dxa"/>
              <w:right w:w="45" w:type="dxa"/>
            </w:tcMar>
            <w:vAlign w:val="center"/>
          </w:tcPr>
          <w:p w14:paraId="291DA1DC">
            <w:pPr>
              <w:pStyle w:val="55"/>
              <w:spacing w:line="360" w:lineRule="exact"/>
              <w:ind w:firstLine="0" w:firstLineChars="0"/>
              <w:jc w:val="center"/>
              <w:rPr>
                <w:rFonts w:hint="eastAsia" w:ascii="Times New Roman" w:hAnsi="Times New Roman" w:eastAsia="宋体" w:cs="Times New Roman"/>
                <w:kern w:val="2"/>
                <w:sz w:val="21"/>
                <w:szCs w:val="24"/>
                <w:lang w:val="en-US" w:eastAsia="zh-CN" w:bidi="ar-SA"/>
              </w:rPr>
            </w:pPr>
            <w:r>
              <w:rPr>
                <w:rFonts w:hint="eastAsia"/>
              </w:rPr>
              <w:t>校内实训室</w:t>
            </w:r>
          </w:p>
        </w:tc>
      </w:tr>
      <w:tr w14:paraId="07DE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164E755C">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7</w:t>
            </w:r>
          </w:p>
        </w:tc>
        <w:tc>
          <w:tcPr>
            <w:tcW w:w="569" w:type="pct"/>
            <w:shd w:val="clear" w:color="auto" w:fill="auto"/>
            <w:tcMar>
              <w:top w:w="30" w:type="dxa"/>
              <w:left w:w="45" w:type="dxa"/>
              <w:bottom w:w="30" w:type="dxa"/>
              <w:right w:w="45" w:type="dxa"/>
            </w:tcMar>
            <w:vAlign w:val="center"/>
          </w:tcPr>
          <w:p w14:paraId="5962B22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食品感官分析技术</w:t>
            </w:r>
          </w:p>
        </w:tc>
        <w:tc>
          <w:tcPr>
            <w:tcW w:w="403" w:type="pct"/>
            <w:shd w:val="clear" w:color="auto" w:fill="auto"/>
            <w:tcMar>
              <w:top w:w="30" w:type="dxa"/>
              <w:left w:w="45" w:type="dxa"/>
              <w:bottom w:w="30" w:type="dxa"/>
              <w:right w:w="45" w:type="dxa"/>
            </w:tcMar>
            <w:vAlign w:val="center"/>
          </w:tcPr>
          <w:p w14:paraId="66FF010F">
            <w:pPr>
              <w:pStyle w:val="53"/>
              <w:spacing w:before="0" w:after="0" w:line="360" w:lineRule="exact"/>
              <w:ind w:firstLine="0" w:firstLineChars="0"/>
              <w:rPr>
                <w:rFonts w:hint="eastAsia" w:ascii="Times New Roman" w:hAnsi="Times New Roman" w:eastAsia="宋体" w:cs="Times New Roman"/>
                <w:b w:val="0"/>
                <w:bCs/>
                <w:kern w:val="2"/>
                <w:sz w:val="21"/>
                <w:szCs w:val="24"/>
                <w:lang w:val="en-US" w:eastAsia="zh-CN" w:bidi="ar-SA"/>
              </w:rPr>
            </w:pPr>
            <w:r>
              <w:rPr>
                <w:rFonts w:hint="eastAsia"/>
                <w:b w:val="0"/>
                <w:bCs/>
                <w:kern w:val="2"/>
                <w:szCs w:val="24"/>
                <w:lang w:val="en-US" w:eastAsia="zh-CN" w:bidi="ar-SA"/>
              </w:rPr>
              <w:t>4</w:t>
            </w:r>
          </w:p>
        </w:tc>
        <w:tc>
          <w:tcPr>
            <w:tcW w:w="446" w:type="pct"/>
            <w:shd w:val="clear" w:color="auto" w:fill="auto"/>
            <w:tcMar>
              <w:top w:w="30" w:type="dxa"/>
              <w:left w:w="45" w:type="dxa"/>
              <w:bottom w:w="30" w:type="dxa"/>
              <w:right w:w="45" w:type="dxa"/>
            </w:tcMar>
            <w:vAlign w:val="center"/>
          </w:tcPr>
          <w:p w14:paraId="6C7E38D8">
            <w:pPr>
              <w:pStyle w:val="53"/>
              <w:spacing w:before="0" w:after="0" w:line="360" w:lineRule="exact"/>
              <w:ind w:firstLine="0" w:firstLineChars="0"/>
              <w:rPr>
                <w:rFonts w:hint="default" w:ascii="Times New Roman" w:hAnsi="Times New Roman" w:eastAsia="宋体" w:cs="Times New Roman"/>
                <w:b w:val="0"/>
                <w:bCs/>
                <w:kern w:val="2"/>
                <w:sz w:val="21"/>
                <w:szCs w:val="24"/>
                <w:lang w:val="en-US" w:eastAsia="zh-CN" w:bidi="ar-SA"/>
              </w:rPr>
            </w:pPr>
            <w:r>
              <w:rPr>
                <w:rFonts w:hint="eastAsia"/>
                <w:b w:val="0"/>
                <w:bCs/>
                <w:kern w:val="2"/>
                <w:szCs w:val="24"/>
                <w:lang w:eastAsia="zh-CN" w:bidi="ar-SA"/>
              </w:rPr>
              <w:t>16/</w:t>
            </w:r>
            <w:r>
              <w:rPr>
                <w:rFonts w:hint="eastAsia"/>
                <w:b w:val="0"/>
                <w:bCs/>
                <w:kern w:val="2"/>
                <w:szCs w:val="24"/>
                <w:lang w:val="en-US" w:eastAsia="zh-CN" w:bidi="ar-SA"/>
              </w:rPr>
              <w:t>64</w:t>
            </w:r>
          </w:p>
        </w:tc>
        <w:tc>
          <w:tcPr>
            <w:tcW w:w="1328" w:type="pct"/>
            <w:shd w:val="clear" w:color="auto" w:fill="auto"/>
            <w:tcMar>
              <w:top w:w="30" w:type="dxa"/>
              <w:left w:w="45" w:type="dxa"/>
              <w:bottom w:w="30" w:type="dxa"/>
              <w:right w:w="45" w:type="dxa"/>
            </w:tcMar>
            <w:vAlign w:val="center"/>
          </w:tcPr>
          <w:p w14:paraId="1239AA7F">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Cs/>
                <w:kern w:val="2"/>
                <w:sz w:val="21"/>
                <w:szCs w:val="24"/>
                <w:lang w:val="en-US" w:eastAsia="zh-CN" w:bidi="ar-SA"/>
              </w:rPr>
            </w:pPr>
            <w:r>
              <w:rPr>
                <w:rFonts w:hint="eastAsia"/>
                <w:bCs/>
              </w:rPr>
              <w:t>掌握微生物染色、制片、判定、计数、测大小、培养基制备、灭菌、接种技术。</w:t>
            </w:r>
          </w:p>
        </w:tc>
        <w:tc>
          <w:tcPr>
            <w:tcW w:w="1241" w:type="pct"/>
            <w:shd w:val="clear" w:color="auto" w:fill="auto"/>
            <w:tcMar>
              <w:top w:w="30" w:type="dxa"/>
              <w:left w:w="45" w:type="dxa"/>
              <w:bottom w:w="30" w:type="dxa"/>
              <w:right w:w="45" w:type="dxa"/>
            </w:tcMar>
            <w:vAlign w:val="center"/>
          </w:tcPr>
          <w:p w14:paraId="133A64E2">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Cs/>
                <w:kern w:val="2"/>
                <w:sz w:val="21"/>
                <w:szCs w:val="24"/>
                <w:lang w:val="en-US" w:eastAsia="zh-CN" w:bidi="ar-SA"/>
              </w:rPr>
            </w:pPr>
            <w:r>
              <w:rPr>
                <w:rFonts w:hint="eastAsia"/>
                <w:bCs/>
              </w:rPr>
              <w:t>熟悉普通光学显微镜结构，认识细菌、酵母菌、霉菌形态特征，了解细菌革兰氏和芽孢染色原理、血球计数板结构、计数原理和测微尺结构。了解培养基制作和灭菌原理。</w:t>
            </w:r>
          </w:p>
        </w:tc>
        <w:tc>
          <w:tcPr>
            <w:tcW w:w="690" w:type="pct"/>
            <w:shd w:val="clear" w:color="auto" w:fill="auto"/>
            <w:tcMar>
              <w:top w:w="30" w:type="dxa"/>
              <w:left w:w="45" w:type="dxa"/>
              <w:bottom w:w="30" w:type="dxa"/>
              <w:right w:w="45" w:type="dxa"/>
            </w:tcMar>
            <w:vAlign w:val="center"/>
          </w:tcPr>
          <w:p w14:paraId="569498A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rPr>
              <w:t>校内实训室</w:t>
            </w:r>
          </w:p>
        </w:tc>
      </w:tr>
      <w:tr w14:paraId="6EEF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shd w:val="clear" w:color="auto" w:fill="auto"/>
            <w:vAlign w:val="center"/>
          </w:tcPr>
          <w:p w14:paraId="1696EAE4">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bookmarkStart w:id="72" w:name="_Toc126321789"/>
            <w:r>
              <w:rPr>
                <w:rFonts w:hint="eastAsia" w:asciiTheme="minorEastAsia" w:hAnsiTheme="minorEastAsia" w:eastAsiaTheme="minorEastAsia" w:cstheme="minorEastAsia"/>
                <w:b w:val="0"/>
                <w:bCs/>
                <w:lang w:eastAsia="zh-CN"/>
              </w:rPr>
              <w:t>8</w:t>
            </w:r>
          </w:p>
        </w:tc>
        <w:tc>
          <w:tcPr>
            <w:tcW w:w="569" w:type="pct"/>
            <w:shd w:val="clear" w:color="auto" w:fill="auto"/>
            <w:vAlign w:val="center"/>
          </w:tcPr>
          <w:p w14:paraId="6E894FE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食品微生物检验技术</w:t>
            </w:r>
          </w:p>
        </w:tc>
        <w:tc>
          <w:tcPr>
            <w:tcW w:w="403" w:type="pct"/>
            <w:shd w:val="clear" w:color="auto" w:fill="auto"/>
            <w:vAlign w:val="center"/>
          </w:tcPr>
          <w:p w14:paraId="42F03CF7">
            <w:pPr>
              <w:pStyle w:val="53"/>
              <w:spacing w:before="0" w:after="0" w:line="360" w:lineRule="exact"/>
              <w:ind w:firstLine="0" w:firstLineChars="0"/>
              <w:rPr>
                <w:rFonts w:hint="eastAsia" w:ascii="Times New Roman" w:hAnsi="Times New Roman" w:eastAsia="宋体" w:cs="Times New Roman"/>
                <w:b w:val="0"/>
                <w:bCs/>
                <w:kern w:val="2"/>
                <w:sz w:val="21"/>
                <w:szCs w:val="24"/>
                <w:lang w:val="en-US" w:eastAsia="zh-CN" w:bidi="ar-SA"/>
              </w:rPr>
            </w:pPr>
            <w:r>
              <w:rPr>
                <w:rFonts w:hint="eastAsia"/>
                <w:b w:val="0"/>
                <w:bCs/>
                <w:kern w:val="2"/>
                <w:szCs w:val="24"/>
                <w:lang w:val="en-US" w:eastAsia="zh-CN" w:bidi="ar-SA"/>
              </w:rPr>
              <w:t>5</w:t>
            </w:r>
          </w:p>
        </w:tc>
        <w:tc>
          <w:tcPr>
            <w:tcW w:w="446" w:type="pct"/>
            <w:shd w:val="clear" w:color="auto" w:fill="auto"/>
            <w:vAlign w:val="center"/>
          </w:tcPr>
          <w:p w14:paraId="6A39621F">
            <w:pPr>
              <w:pStyle w:val="53"/>
              <w:spacing w:before="0" w:after="0" w:line="360" w:lineRule="exact"/>
              <w:ind w:firstLine="0" w:firstLineChars="0"/>
              <w:rPr>
                <w:rFonts w:hint="default" w:ascii="Times New Roman" w:hAnsi="Times New Roman" w:eastAsia="宋体" w:cs="Times New Roman"/>
                <w:b w:val="0"/>
                <w:bCs/>
                <w:kern w:val="2"/>
                <w:sz w:val="21"/>
                <w:szCs w:val="24"/>
                <w:lang w:val="en-US" w:eastAsia="zh-CN" w:bidi="ar-SA"/>
              </w:rPr>
            </w:pPr>
            <w:r>
              <w:rPr>
                <w:rFonts w:hint="eastAsia"/>
                <w:b w:val="0"/>
                <w:bCs/>
                <w:kern w:val="2"/>
                <w:szCs w:val="24"/>
                <w:lang w:eastAsia="zh-CN" w:bidi="ar-SA"/>
              </w:rPr>
              <w:t>16/</w:t>
            </w:r>
            <w:r>
              <w:rPr>
                <w:rFonts w:hint="eastAsia"/>
                <w:b w:val="0"/>
                <w:bCs/>
                <w:kern w:val="2"/>
                <w:szCs w:val="24"/>
                <w:lang w:val="en-US" w:eastAsia="zh-CN" w:bidi="ar-SA"/>
              </w:rPr>
              <w:t>80</w:t>
            </w:r>
          </w:p>
        </w:tc>
        <w:tc>
          <w:tcPr>
            <w:tcW w:w="1328" w:type="pct"/>
            <w:shd w:val="clear" w:color="auto" w:fill="auto"/>
            <w:vAlign w:val="center"/>
          </w:tcPr>
          <w:p w14:paraId="5FF64E58">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Cs/>
                <w:kern w:val="2"/>
                <w:sz w:val="21"/>
                <w:szCs w:val="24"/>
                <w:lang w:val="en-US" w:eastAsia="zh-CN" w:bidi="ar-SA"/>
              </w:rPr>
            </w:pPr>
            <w:r>
              <w:rPr>
                <w:rFonts w:hint="eastAsia"/>
                <w:bCs/>
              </w:rPr>
              <w:t>能根据不同的分析对象和检验目的，选择合适的分析方法，确定合理的检验方案；能熟练运用食品理化检验技术，合理安排检验工作，正确配制试剂，熟练使用分析仪器，独立、准确、高效地完成检验操作；能正确处理检验数据，正确评价检验结果的可靠性；能根据检验流程和要求，对企业生产中原料、半成品、成品进行检验并做出品质判断，以指导生产，保证产品质量。</w:t>
            </w:r>
          </w:p>
        </w:tc>
        <w:tc>
          <w:tcPr>
            <w:tcW w:w="1241" w:type="pct"/>
            <w:shd w:val="clear" w:color="auto" w:fill="auto"/>
            <w:vAlign w:val="center"/>
          </w:tcPr>
          <w:p w14:paraId="6AAD6841">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Cs/>
                <w:kern w:val="2"/>
                <w:sz w:val="21"/>
                <w:szCs w:val="24"/>
                <w:lang w:val="en-US" w:eastAsia="zh-CN" w:bidi="ar-SA"/>
              </w:rPr>
            </w:pPr>
            <w:r>
              <w:rPr>
                <w:rFonts w:hint="eastAsia"/>
                <w:bCs/>
              </w:rPr>
              <w:t>了解行业现状及发展趋势，及时了解不断出现的食品检验新仪器、新方法和新技术；熟悉食品理化检验的任务与内容、基本程序、主要方法及相关标准；理解食品中常见理化指标的测定原理，熟练掌握理化检验操作的基本技能。</w:t>
            </w:r>
          </w:p>
        </w:tc>
        <w:tc>
          <w:tcPr>
            <w:tcW w:w="690" w:type="pct"/>
            <w:shd w:val="clear" w:color="auto" w:fill="auto"/>
            <w:vAlign w:val="center"/>
          </w:tcPr>
          <w:p w14:paraId="3287240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rPr>
              <w:t>校内实训室</w:t>
            </w:r>
          </w:p>
        </w:tc>
      </w:tr>
      <w:tr w14:paraId="0C1E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shd w:val="clear" w:color="auto" w:fill="auto"/>
            <w:vAlign w:val="center"/>
          </w:tcPr>
          <w:p w14:paraId="77844C28">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9</w:t>
            </w:r>
          </w:p>
        </w:tc>
        <w:tc>
          <w:tcPr>
            <w:tcW w:w="569" w:type="pct"/>
            <w:shd w:val="clear" w:color="auto" w:fill="auto"/>
            <w:vAlign w:val="center"/>
          </w:tcPr>
          <w:p w14:paraId="7E207EE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食品理化检验技术</w:t>
            </w:r>
          </w:p>
        </w:tc>
        <w:tc>
          <w:tcPr>
            <w:tcW w:w="403" w:type="pct"/>
            <w:shd w:val="clear" w:color="auto" w:fill="auto"/>
            <w:vAlign w:val="center"/>
          </w:tcPr>
          <w:p w14:paraId="1E295D01">
            <w:pPr>
              <w:pStyle w:val="53"/>
              <w:spacing w:before="0" w:after="0" w:line="360" w:lineRule="exact"/>
              <w:ind w:firstLine="0" w:firstLineChars="0"/>
              <w:rPr>
                <w:rFonts w:hint="eastAsia" w:ascii="Times New Roman" w:hAnsi="Times New Roman" w:eastAsia="宋体" w:cs="Times New Roman"/>
                <w:b w:val="0"/>
                <w:bCs/>
                <w:kern w:val="2"/>
                <w:sz w:val="21"/>
                <w:szCs w:val="24"/>
                <w:lang w:val="en-US" w:eastAsia="zh-CN" w:bidi="ar-SA"/>
              </w:rPr>
            </w:pPr>
            <w:r>
              <w:rPr>
                <w:rFonts w:hint="eastAsia"/>
                <w:b w:val="0"/>
                <w:bCs/>
                <w:kern w:val="2"/>
                <w:szCs w:val="24"/>
                <w:lang w:val="en-US" w:eastAsia="zh-CN" w:bidi="ar-SA"/>
              </w:rPr>
              <w:t>6</w:t>
            </w:r>
          </w:p>
        </w:tc>
        <w:tc>
          <w:tcPr>
            <w:tcW w:w="446" w:type="pct"/>
            <w:shd w:val="clear" w:color="auto" w:fill="auto"/>
            <w:vAlign w:val="center"/>
          </w:tcPr>
          <w:p w14:paraId="4B83DD5F">
            <w:pPr>
              <w:pStyle w:val="53"/>
              <w:spacing w:before="0" w:after="0" w:line="360" w:lineRule="exact"/>
              <w:ind w:firstLine="0" w:firstLineChars="0"/>
              <w:rPr>
                <w:rFonts w:hint="default" w:ascii="Times New Roman" w:hAnsi="Times New Roman" w:eastAsia="宋体" w:cs="Times New Roman"/>
                <w:b w:val="0"/>
                <w:bCs/>
                <w:kern w:val="2"/>
                <w:sz w:val="21"/>
                <w:szCs w:val="24"/>
                <w:lang w:val="en-US" w:eastAsia="zh-CN" w:bidi="ar-SA"/>
              </w:rPr>
            </w:pPr>
            <w:r>
              <w:rPr>
                <w:rFonts w:hint="eastAsia"/>
                <w:b w:val="0"/>
                <w:bCs/>
                <w:kern w:val="2"/>
                <w:szCs w:val="24"/>
                <w:lang w:eastAsia="zh-CN" w:bidi="ar-SA"/>
              </w:rPr>
              <w:t>16/</w:t>
            </w:r>
            <w:r>
              <w:rPr>
                <w:rFonts w:hint="eastAsia"/>
                <w:b w:val="0"/>
                <w:bCs/>
                <w:kern w:val="2"/>
                <w:szCs w:val="24"/>
                <w:lang w:val="en-US" w:eastAsia="zh-CN" w:bidi="ar-SA"/>
              </w:rPr>
              <w:t>96</w:t>
            </w:r>
          </w:p>
        </w:tc>
        <w:tc>
          <w:tcPr>
            <w:tcW w:w="1328" w:type="pct"/>
            <w:shd w:val="clear" w:color="auto" w:fill="auto"/>
            <w:vAlign w:val="center"/>
          </w:tcPr>
          <w:p w14:paraId="6A30BDC0">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Cs/>
                <w:kern w:val="2"/>
                <w:sz w:val="21"/>
                <w:szCs w:val="24"/>
                <w:lang w:val="en-US" w:eastAsia="zh-CN" w:bidi="ar-SA"/>
              </w:rPr>
            </w:pPr>
            <w:r>
              <w:rPr>
                <w:rFonts w:hint="eastAsia"/>
                <w:bCs/>
              </w:rPr>
              <w:t>能根据实际分析任务，选择合适的检测方法。能熟练操作所讲的主要分析仪器，来检验产品。能对五种常用分析仪器进行日常管理和维护。能合理采集数据和分析数据。具有分析问题、解决问题的初步能力。</w:t>
            </w:r>
          </w:p>
        </w:tc>
        <w:tc>
          <w:tcPr>
            <w:tcW w:w="1241" w:type="pct"/>
            <w:shd w:val="clear" w:color="auto" w:fill="auto"/>
            <w:vAlign w:val="center"/>
          </w:tcPr>
          <w:p w14:paraId="53B0BA63">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Cs/>
                <w:kern w:val="2"/>
                <w:sz w:val="21"/>
                <w:szCs w:val="24"/>
                <w:lang w:val="en-US" w:eastAsia="zh-CN" w:bidi="ar-SA"/>
              </w:rPr>
            </w:pPr>
            <w:r>
              <w:rPr>
                <w:rFonts w:hint="eastAsia"/>
                <w:bCs/>
              </w:rPr>
              <w:t>掌握基本的分析检验方法，学会典型产品检测的分析条件及样品处理技术知识；熟悉分析检验仪器和设备的结构、使用、维护和一般检修知识；熟悉五种仪器的检测应用范围及局限性。认清其在化工生产中的地位和作用。掌握分析检验工作的安全防护等方面的基本知识。</w:t>
            </w:r>
          </w:p>
        </w:tc>
        <w:tc>
          <w:tcPr>
            <w:tcW w:w="690" w:type="pct"/>
            <w:shd w:val="clear" w:color="auto" w:fill="auto"/>
            <w:vAlign w:val="center"/>
          </w:tcPr>
          <w:p w14:paraId="1C8D92C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rPr>
              <w:t>校内实训室</w:t>
            </w:r>
          </w:p>
        </w:tc>
      </w:tr>
      <w:tr w14:paraId="6A8D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shd w:val="clear" w:color="auto" w:fill="auto"/>
            <w:vAlign w:val="center"/>
          </w:tcPr>
          <w:p w14:paraId="250A47E1">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10</w:t>
            </w:r>
          </w:p>
        </w:tc>
        <w:tc>
          <w:tcPr>
            <w:tcW w:w="569" w:type="pct"/>
            <w:shd w:val="clear" w:color="auto" w:fill="auto"/>
            <w:vAlign w:val="center"/>
          </w:tcPr>
          <w:p w14:paraId="73C97A8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食品仪器分析技术</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技术</w:t>
            </w:r>
          </w:p>
        </w:tc>
        <w:tc>
          <w:tcPr>
            <w:tcW w:w="403" w:type="pct"/>
            <w:shd w:val="clear" w:color="auto" w:fill="auto"/>
            <w:vAlign w:val="center"/>
          </w:tcPr>
          <w:p w14:paraId="4F60082F">
            <w:pPr>
              <w:pStyle w:val="53"/>
              <w:spacing w:before="0" w:after="0" w:line="360" w:lineRule="exact"/>
              <w:ind w:firstLine="0" w:firstLineChars="0"/>
              <w:jc w:val="center"/>
              <w:rPr>
                <w:rFonts w:hint="eastAsia" w:ascii="Times New Roman" w:hAnsi="Times New Roman" w:eastAsia="宋体" w:cs="Times New Roman"/>
                <w:b w:val="0"/>
                <w:bCs/>
                <w:kern w:val="2"/>
                <w:sz w:val="21"/>
                <w:szCs w:val="24"/>
                <w:lang w:val="en-US" w:eastAsia="zh-CN" w:bidi="ar-SA"/>
              </w:rPr>
            </w:pPr>
            <w:r>
              <w:rPr>
                <w:rFonts w:hint="eastAsia"/>
                <w:b w:val="0"/>
                <w:bCs/>
                <w:kern w:val="2"/>
                <w:szCs w:val="24"/>
                <w:lang w:val="en-US" w:eastAsia="zh-CN" w:bidi="ar-SA"/>
              </w:rPr>
              <w:t>3</w:t>
            </w:r>
          </w:p>
        </w:tc>
        <w:tc>
          <w:tcPr>
            <w:tcW w:w="446" w:type="pct"/>
            <w:shd w:val="clear" w:color="auto" w:fill="auto"/>
            <w:vAlign w:val="center"/>
          </w:tcPr>
          <w:p w14:paraId="7B798B5D">
            <w:pPr>
              <w:pStyle w:val="53"/>
              <w:spacing w:before="0" w:after="0" w:line="360" w:lineRule="exact"/>
              <w:ind w:firstLine="0" w:firstLineChars="0"/>
              <w:jc w:val="center"/>
              <w:rPr>
                <w:rFonts w:hint="default" w:ascii="Times New Roman" w:hAnsi="Times New Roman" w:eastAsia="宋体" w:cs="Times New Roman"/>
                <w:b w:val="0"/>
                <w:bCs/>
                <w:kern w:val="2"/>
                <w:sz w:val="21"/>
                <w:szCs w:val="24"/>
                <w:lang w:val="en-US" w:eastAsia="zh-CN" w:bidi="ar-SA"/>
              </w:rPr>
            </w:pPr>
            <w:r>
              <w:rPr>
                <w:rFonts w:hint="eastAsia"/>
                <w:b w:val="0"/>
                <w:bCs/>
                <w:kern w:val="2"/>
                <w:szCs w:val="24"/>
                <w:lang w:eastAsia="zh-CN" w:bidi="ar-SA"/>
              </w:rPr>
              <w:t>16/</w:t>
            </w:r>
            <w:r>
              <w:rPr>
                <w:rFonts w:hint="eastAsia"/>
                <w:b w:val="0"/>
                <w:bCs/>
                <w:kern w:val="2"/>
                <w:szCs w:val="24"/>
                <w:lang w:val="en-US" w:eastAsia="zh-CN" w:bidi="ar-SA"/>
              </w:rPr>
              <w:t>48</w:t>
            </w:r>
          </w:p>
        </w:tc>
        <w:tc>
          <w:tcPr>
            <w:tcW w:w="1328" w:type="pct"/>
            <w:shd w:val="clear" w:color="auto" w:fill="auto"/>
            <w:vAlign w:val="center"/>
          </w:tcPr>
          <w:p w14:paraId="557A8ADE">
            <w:pPr>
              <w:pStyle w:val="55"/>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ascii="Times New Roman" w:hAnsi="Times New Roman" w:eastAsia="宋体" w:cs="Times New Roman"/>
                <w:bCs/>
                <w:kern w:val="2"/>
                <w:sz w:val="21"/>
                <w:szCs w:val="24"/>
                <w:lang w:val="en-US" w:eastAsia="zh-CN" w:bidi="ar-SA"/>
              </w:rPr>
            </w:pPr>
            <w:r>
              <w:rPr>
                <w:rFonts w:hint="eastAsia"/>
                <w:bCs/>
              </w:rPr>
              <w:t>学会解决在生产 一线中产生的各种问题，为学生顶岗实习奠定良好的基础，为顺利通过国家劳动部组织的食品检验工考试提供必备的条件。</w:t>
            </w:r>
          </w:p>
        </w:tc>
        <w:tc>
          <w:tcPr>
            <w:tcW w:w="1241" w:type="pct"/>
            <w:shd w:val="clear" w:color="auto" w:fill="auto"/>
            <w:vAlign w:val="center"/>
          </w:tcPr>
          <w:p w14:paraId="0DAC9C63">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Cs/>
                <w:kern w:val="2"/>
                <w:sz w:val="21"/>
                <w:szCs w:val="24"/>
                <w:lang w:val="en-US" w:eastAsia="zh-CN" w:bidi="ar-SA"/>
              </w:rPr>
            </w:pPr>
            <w:r>
              <w:rPr>
                <w:rFonts w:hint="eastAsia"/>
                <w:bCs/>
              </w:rPr>
              <w:t>使学生掌握食品掺伪检验的基础知识和掺伪检验的基本技能，初步形成一定的学习能力和课程实践能力，</w:t>
            </w:r>
          </w:p>
        </w:tc>
        <w:tc>
          <w:tcPr>
            <w:tcW w:w="690" w:type="pct"/>
            <w:shd w:val="clear" w:color="auto" w:fill="auto"/>
            <w:vAlign w:val="center"/>
          </w:tcPr>
          <w:p w14:paraId="2CA6DA0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rPr>
              <w:t>校内实训室</w:t>
            </w:r>
          </w:p>
        </w:tc>
      </w:tr>
      <w:tr w14:paraId="1710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shd w:val="clear" w:color="auto" w:fill="auto"/>
            <w:vAlign w:val="center"/>
          </w:tcPr>
          <w:p w14:paraId="06FF2C73">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11</w:t>
            </w:r>
          </w:p>
        </w:tc>
        <w:tc>
          <w:tcPr>
            <w:tcW w:w="569" w:type="pct"/>
            <w:shd w:val="clear" w:color="auto" w:fill="auto"/>
            <w:vAlign w:val="center"/>
          </w:tcPr>
          <w:p w14:paraId="343834F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食品快速检测技术</w:t>
            </w:r>
          </w:p>
        </w:tc>
        <w:tc>
          <w:tcPr>
            <w:tcW w:w="403" w:type="pct"/>
            <w:shd w:val="clear" w:color="auto" w:fill="auto"/>
            <w:vAlign w:val="center"/>
          </w:tcPr>
          <w:p w14:paraId="23E40FFF">
            <w:pPr>
              <w:pStyle w:val="55"/>
              <w:ind w:firstLine="0" w:firstLineChars="0"/>
              <w:jc w:val="center"/>
              <w:rPr>
                <w:rFonts w:hint="eastAsia" w:ascii="Times New Roman" w:hAnsi="Times New Roman" w:eastAsia="宋体" w:cs="Times New Roman"/>
                <w:bCs/>
                <w:kern w:val="2"/>
                <w:sz w:val="21"/>
                <w:szCs w:val="24"/>
                <w:lang w:val="en-US" w:eastAsia="zh-CN" w:bidi="ar-SA"/>
              </w:rPr>
            </w:pPr>
            <w:r>
              <w:rPr>
                <w:rFonts w:hint="eastAsia"/>
                <w:bCs/>
                <w:lang w:val="en-US" w:eastAsia="zh-CN"/>
              </w:rPr>
              <w:t>3</w:t>
            </w:r>
          </w:p>
        </w:tc>
        <w:tc>
          <w:tcPr>
            <w:tcW w:w="446" w:type="pct"/>
            <w:shd w:val="clear" w:color="auto" w:fill="auto"/>
            <w:vAlign w:val="center"/>
          </w:tcPr>
          <w:p w14:paraId="700ABA41">
            <w:pPr>
              <w:pStyle w:val="55"/>
              <w:ind w:firstLine="0" w:firstLineChars="0"/>
              <w:jc w:val="center"/>
              <w:rPr>
                <w:rFonts w:hint="default" w:ascii="Times New Roman" w:hAnsi="Times New Roman" w:eastAsia="宋体" w:cs="Times New Roman"/>
                <w:bCs/>
                <w:kern w:val="2"/>
                <w:sz w:val="21"/>
                <w:szCs w:val="24"/>
                <w:lang w:val="en-US" w:eastAsia="zh-CN" w:bidi="ar-SA"/>
              </w:rPr>
            </w:pPr>
            <w:r>
              <w:rPr>
                <w:rFonts w:hint="eastAsia"/>
                <w:bCs/>
              </w:rPr>
              <w:t>16/</w:t>
            </w:r>
            <w:r>
              <w:rPr>
                <w:rFonts w:hint="eastAsia"/>
                <w:bCs/>
                <w:lang w:val="en-US" w:eastAsia="zh-CN"/>
              </w:rPr>
              <w:t>48</w:t>
            </w:r>
          </w:p>
        </w:tc>
        <w:tc>
          <w:tcPr>
            <w:tcW w:w="1328" w:type="pct"/>
            <w:shd w:val="clear" w:color="auto" w:fill="auto"/>
            <w:vAlign w:val="center"/>
          </w:tcPr>
          <w:p w14:paraId="34A08CB1">
            <w:pPr>
              <w:pStyle w:val="55"/>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ascii="Times New Roman" w:hAnsi="Times New Roman" w:eastAsia="宋体" w:cs="Times New Roman"/>
                <w:bCs/>
                <w:kern w:val="2"/>
                <w:sz w:val="21"/>
                <w:szCs w:val="24"/>
                <w:lang w:val="en-US" w:eastAsia="zh-CN" w:bidi="ar-SA"/>
              </w:rPr>
            </w:pPr>
            <w:r>
              <w:rPr>
                <w:rFonts w:hint="eastAsia"/>
                <w:bCs/>
              </w:rPr>
              <w:t>掌握各类焙烤食品生产操作</w:t>
            </w:r>
          </w:p>
        </w:tc>
        <w:tc>
          <w:tcPr>
            <w:tcW w:w="1241" w:type="pct"/>
            <w:shd w:val="clear" w:color="auto" w:fill="auto"/>
            <w:vAlign w:val="center"/>
          </w:tcPr>
          <w:p w14:paraId="55F4FA5F">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Cs/>
                <w:kern w:val="2"/>
                <w:sz w:val="21"/>
                <w:szCs w:val="24"/>
                <w:lang w:val="en-US" w:eastAsia="zh-CN" w:bidi="ar-SA"/>
              </w:rPr>
            </w:pPr>
            <w:r>
              <w:rPr>
                <w:rFonts w:hint="eastAsia"/>
                <w:bCs/>
              </w:rPr>
              <w:t>各种面包、蛋糕、饼干、月饼、特色糕点等产品的配方设计、工艺流程、操作要点、及基本技能。</w:t>
            </w:r>
          </w:p>
        </w:tc>
        <w:tc>
          <w:tcPr>
            <w:tcW w:w="690" w:type="pct"/>
            <w:shd w:val="clear" w:color="auto" w:fill="auto"/>
            <w:vAlign w:val="center"/>
          </w:tcPr>
          <w:p w14:paraId="2F679702">
            <w:pPr>
              <w:pStyle w:val="55"/>
              <w:ind w:firstLine="0" w:firstLineChars="0"/>
              <w:jc w:val="center"/>
              <w:rPr>
                <w:rFonts w:hint="eastAsia" w:ascii="Times New Roman" w:hAnsi="Times New Roman" w:eastAsia="宋体" w:cs="Times New Roman"/>
                <w:kern w:val="2"/>
                <w:sz w:val="21"/>
                <w:szCs w:val="24"/>
                <w:lang w:val="en-US" w:eastAsia="zh-CN" w:bidi="ar-SA"/>
              </w:rPr>
            </w:pPr>
            <w:r>
              <w:rPr>
                <w:rFonts w:hint="eastAsia"/>
              </w:rPr>
              <w:t>校内实训室</w:t>
            </w:r>
          </w:p>
        </w:tc>
      </w:tr>
      <w:tr w14:paraId="233E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shd w:val="clear" w:color="auto" w:fill="auto"/>
            <w:vAlign w:val="center"/>
          </w:tcPr>
          <w:p w14:paraId="3D352689">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13</w:t>
            </w:r>
          </w:p>
        </w:tc>
        <w:tc>
          <w:tcPr>
            <w:tcW w:w="569" w:type="pct"/>
            <w:shd w:val="clear" w:color="auto" w:fill="auto"/>
            <w:vAlign w:val="center"/>
          </w:tcPr>
          <w:p w14:paraId="6B49B06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default"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食品检验基础技能</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实训</w:t>
            </w:r>
          </w:p>
        </w:tc>
        <w:tc>
          <w:tcPr>
            <w:tcW w:w="403" w:type="pct"/>
            <w:shd w:val="clear" w:color="auto" w:fill="auto"/>
            <w:vAlign w:val="center"/>
          </w:tcPr>
          <w:p w14:paraId="49FE5957">
            <w:pPr>
              <w:spacing w:line="360" w:lineRule="exact"/>
              <w:ind w:firstLine="0" w:firstLineChars="0"/>
              <w:jc w:val="center"/>
              <w:rPr>
                <w:rFonts w:hint="eastAsia" w:ascii="Times New Roman" w:hAnsi="Times New Roman" w:eastAsia="宋体" w:cs="Times New Roman"/>
                <w:bCs/>
                <w:kern w:val="2"/>
                <w:sz w:val="21"/>
                <w:szCs w:val="24"/>
                <w:lang w:val="en-US" w:eastAsia="zh-CN" w:bidi="ar-SA"/>
              </w:rPr>
            </w:pPr>
            <w:r>
              <w:rPr>
                <w:rFonts w:hint="eastAsia"/>
                <w:bCs/>
                <w:sz w:val="21"/>
              </w:rPr>
              <w:t>5</w:t>
            </w:r>
          </w:p>
        </w:tc>
        <w:tc>
          <w:tcPr>
            <w:tcW w:w="446" w:type="pct"/>
            <w:shd w:val="clear" w:color="auto" w:fill="auto"/>
            <w:vAlign w:val="center"/>
          </w:tcPr>
          <w:p w14:paraId="64189792">
            <w:pPr>
              <w:spacing w:line="360" w:lineRule="exact"/>
              <w:ind w:firstLine="0" w:firstLineChars="0"/>
              <w:jc w:val="center"/>
              <w:rPr>
                <w:rFonts w:hint="default" w:ascii="Times New Roman" w:hAnsi="Times New Roman" w:eastAsia="宋体" w:cs="Times New Roman"/>
                <w:bCs/>
                <w:kern w:val="2"/>
                <w:sz w:val="21"/>
                <w:szCs w:val="24"/>
                <w:lang w:val="en-US" w:eastAsia="zh-CN" w:bidi="ar-SA"/>
              </w:rPr>
            </w:pPr>
            <w:r>
              <w:rPr>
                <w:rFonts w:hint="eastAsia"/>
                <w:bCs/>
                <w:sz w:val="21"/>
              </w:rPr>
              <w:t>6/</w:t>
            </w:r>
            <w:r>
              <w:rPr>
                <w:rFonts w:hint="eastAsia"/>
                <w:bCs/>
                <w:sz w:val="21"/>
                <w:lang w:val="en-US" w:eastAsia="zh-CN"/>
              </w:rPr>
              <w:t>96</w:t>
            </w:r>
          </w:p>
        </w:tc>
        <w:tc>
          <w:tcPr>
            <w:tcW w:w="1328" w:type="pct"/>
            <w:shd w:val="clear" w:color="auto" w:fill="auto"/>
            <w:vAlign w:val="center"/>
          </w:tcPr>
          <w:p w14:paraId="327FA822">
            <w:pPr>
              <w:pStyle w:val="55"/>
              <w:keepNext w:val="0"/>
              <w:keepLines w:val="0"/>
              <w:pageBreakBefore w:val="0"/>
              <w:kinsoku/>
              <w:wordWrap/>
              <w:overflowPunct/>
              <w:topLinePunct w:val="0"/>
              <w:autoSpaceDE/>
              <w:autoSpaceDN/>
              <w:bidi w:val="0"/>
              <w:adjustRightInd/>
              <w:snapToGrid/>
              <w:ind w:firstLine="420" w:firstLineChars="200"/>
              <w:textAlignment w:val="auto"/>
              <w:rPr>
                <w:bCs/>
              </w:rPr>
            </w:pPr>
            <w:r>
              <w:rPr>
                <w:rFonts w:hint="eastAsia"/>
                <w:bCs/>
              </w:rPr>
              <w:t>能运用食品检验相关理论知识进行独立的</w:t>
            </w:r>
          </w:p>
          <w:p w14:paraId="462991C0">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Cs/>
                <w:kern w:val="2"/>
                <w:sz w:val="21"/>
                <w:szCs w:val="21"/>
                <w:lang w:val="en-US" w:eastAsia="zh-CN" w:bidi="ar-SA"/>
              </w:rPr>
            </w:pPr>
            <w:r>
              <w:rPr>
                <w:rFonts w:hint="eastAsia"/>
                <w:bCs/>
              </w:rPr>
              <w:t>实践检验操作，完成日常食品检验工作</w:t>
            </w:r>
          </w:p>
        </w:tc>
        <w:tc>
          <w:tcPr>
            <w:tcW w:w="1241" w:type="pct"/>
            <w:shd w:val="clear" w:color="auto" w:fill="auto"/>
            <w:vAlign w:val="center"/>
          </w:tcPr>
          <w:p w14:paraId="2C869C4C">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Cs/>
                <w:kern w:val="2"/>
                <w:sz w:val="21"/>
                <w:szCs w:val="21"/>
                <w:lang w:val="en-US" w:eastAsia="zh-CN" w:bidi="ar-SA"/>
              </w:rPr>
            </w:pPr>
            <w:r>
              <w:rPr>
                <w:rFonts w:hint="eastAsia"/>
                <w:bCs/>
              </w:rPr>
              <w:t>参与企业食品检验工作</w:t>
            </w:r>
          </w:p>
        </w:tc>
        <w:tc>
          <w:tcPr>
            <w:tcW w:w="690" w:type="pct"/>
            <w:shd w:val="clear" w:color="auto" w:fill="auto"/>
            <w:vAlign w:val="center"/>
          </w:tcPr>
          <w:p w14:paraId="47A6642F">
            <w:pPr>
              <w:pStyle w:val="55"/>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rPr>
              <w:t>校外实训基地</w:t>
            </w:r>
          </w:p>
        </w:tc>
      </w:tr>
      <w:tr w14:paraId="02CE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shd w:val="clear" w:color="auto" w:fill="auto"/>
            <w:vAlign w:val="center"/>
          </w:tcPr>
          <w:p w14:paraId="146BA4BF">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14</w:t>
            </w:r>
          </w:p>
        </w:tc>
        <w:tc>
          <w:tcPr>
            <w:tcW w:w="569" w:type="pct"/>
            <w:shd w:val="clear" w:color="auto" w:fill="auto"/>
            <w:vAlign w:val="center"/>
          </w:tcPr>
          <w:p w14:paraId="1C70D5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default"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食品理化与微生物检验</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实训</w:t>
            </w:r>
          </w:p>
        </w:tc>
        <w:tc>
          <w:tcPr>
            <w:tcW w:w="403" w:type="pct"/>
            <w:shd w:val="clear" w:color="auto" w:fill="auto"/>
            <w:vAlign w:val="center"/>
          </w:tcPr>
          <w:p w14:paraId="788E406A">
            <w:pPr>
              <w:spacing w:line="360" w:lineRule="exact"/>
              <w:ind w:firstLine="0" w:firstLineChars="0"/>
              <w:jc w:val="center"/>
              <w:rPr>
                <w:rFonts w:hint="eastAsia" w:ascii="Times New Roman" w:hAnsi="Times New Roman" w:eastAsia="宋体" w:cs="Times New Roman"/>
                <w:bCs/>
                <w:kern w:val="2"/>
                <w:sz w:val="21"/>
                <w:szCs w:val="24"/>
                <w:lang w:val="en-US" w:eastAsia="zh-CN" w:bidi="ar-SA"/>
              </w:rPr>
            </w:pPr>
            <w:r>
              <w:rPr>
                <w:rFonts w:hint="eastAsia"/>
                <w:bCs/>
                <w:sz w:val="21"/>
              </w:rPr>
              <w:t>5</w:t>
            </w:r>
          </w:p>
        </w:tc>
        <w:tc>
          <w:tcPr>
            <w:tcW w:w="446" w:type="pct"/>
            <w:shd w:val="clear" w:color="auto" w:fill="auto"/>
            <w:vAlign w:val="center"/>
          </w:tcPr>
          <w:p w14:paraId="5383F6B2">
            <w:pPr>
              <w:spacing w:line="360" w:lineRule="exact"/>
              <w:ind w:firstLine="0" w:firstLineChars="0"/>
              <w:jc w:val="center"/>
              <w:rPr>
                <w:rFonts w:hint="default" w:ascii="Times New Roman" w:hAnsi="Times New Roman" w:eastAsia="宋体" w:cs="Times New Roman"/>
                <w:bCs/>
                <w:kern w:val="2"/>
                <w:sz w:val="21"/>
                <w:szCs w:val="24"/>
                <w:lang w:val="en-US" w:eastAsia="zh-CN" w:bidi="ar-SA"/>
              </w:rPr>
            </w:pPr>
            <w:r>
              <w:rPr>
                <w:rFonts w:hint="eastAsia"/>
                <w:bCs/>
                <w:sz w:val="21"/>
              </w:rPr>
              <w:t>6/</w:t>
            </w:r>
            <w:r>
              <w:rPr>
                <w:rFonts w:hint="eastAsia"/>
                <w:bCs/>
                <w:sz w:val="21"/>
                <w:lang w:val="en-US" w:eastAsia="zh-CN"/>
              </w:rPr>
              <w:t>96</w:t>
            </w:r>
          </w:p>
        </w:tc>
        <w:tc>
          <w:tcPr>
            <w:tcW w:w="1328" w:type="pct"/>
            <w:shd w:val="clear" w:color="auto" w:fill="auto"/>
            <w:vAlign w:val="center"/>
          </w:tcPr>
          <w:p w14:paraId="497E135C">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Cs/>
                <w:kern w:val="2"/>
                <w:sz w:val="21"/>
                <w:szCs w:val="21"/>
                <w:lang w:val="en-US" w:eastAsia="zh-CN" w:bidi="ar-SA"/>
              </w:rPr>
            </w:pPr>
            <w:r>
              <w:rPr>
                <w:rFonts w:hint="eastAsia"/>
                <w:bCs/>
              </w:rPr>
              <w:t>能够独立运用相关食品生产知识，完成操作岗位基本设备操作</w:t>
            </w:r>
          </w:p>
        </w:tc>
        <w:tc>
          <w:tcPr>
            <w:tcW w:w="1241" w:type="pct"/>
            <w:shd w:val="clear" w:color="auto" w:fill="auto"/>
            <w:vAlign w:val="center"/>
          </w:tcPr>
          <w:p w14:paraId="0085ED3D">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Cs/>
                <w:kern w:val="2"/>
                <w:sz w:val="21"/>
                <w:szCs w:val="21"/>
                <w:lang w:val="en-US" w:eastAsia="zh-CN" w:bidi="ar-SA"/>
              </w:rPr>
            </w:pPr>
            <w:r>
              <w:rPr>
                <w:rFonts w:hint="eastAsia"/>
                <w:bCs/>
              </w:rPr>
              <w:t>深入食品生产线，参与一线生产。</w:t>
            </w:r>
          </w:p>
        </w:tc>
        <w:tc>
          <w:tcPr>
            <w:tcW w:w="690" w:type="pct"/>
            <w:shd w:val="clear" w:color="auto" w:fill="auto"/>
            <w:vAlign w:val="center"/>
          </w:tcPr>
          <w:p w14:paraId="016C3B66">
            <w:pPr>
              <w:pStyle w:val="55"/>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rPr>
              <w:t>校外实训基地</w:t>
            </w:r>
          </w:p>
        </w:tc>
      </w:tr>
      <w:tr w14:paraId="0025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shd w:val="clear" w:color="auto" w:fill="auto"/>
            <w:vAlign w:val="center"/>
          </w:tcPr>
          <w:p w14:paraId="2536BE36">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15</w:t>
            </w:r>
          </w:p>
        </w:tc>
        <w:tc>
          <w:tcPr>
            <w:tcW w:w="569" w:type="pct"/>
            <w:shd w:val="clear" w:color="auto" w:fill="auto"/>
            <w:vAlign w:val="center"/>
          </w:tcPr>
          <w:p w14:paraId="1BA4166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default"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食品检验综合项目</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实训</w:t>
            </w:r>
          </w:p>
        </w:tc>
        <w:tc>
          <w:tcPr>
            <w:tcW w:w="403" w:type="pct"/>
            <w:shd w:val="clear" w:color="auto" w:fill="auto"/>
            <w:vAlign w:val="center"/>
          </w:tcPr>
          <w:p w14:paraId="6A398E14">
            <w:pPr>
              <w:spacing w:line="360" w:lineRule="exact"/>
              <w:ind w:firstLine="0" w:firstLineChars="0"/>
              <w:jc w:val="center"/>
              <w:rPr>
                <w:rFonts w:hint="eastAsia" w:ascii="Times New Roman" w:hAnsi="Times New Roman" w:eastAsia="宋体" w:cs="Times New Roman"/>
                <w:bCs/>
                <w:kern w:val="2"/>
                <w:sz w:val="21"/>
                <w:szCs w:val="24"/>
                <w:lang w:val="en-US" w:eastAsia="zh-CN" w:bidi="ar-SA"/>
              </w:rPr>
            </w:pPr>
            <w:r>
              <w:rPr>
                <w:rFonts w:hint="eastAsia"/>
                <w:bCs/>
                <w:sz w:val="21"/>
              </w:rPr>
              <w:t>5</w:t>
            </w:r>
          </w:p>
        </w:tc>
        <w:tc>
          <w:tcPr>
            <w:tcW w:w="446" w:type="pct"/>
            <w:shd w:val="clear" w:color="auto" w:fill="auto"/>
            <w:vAlign w:val="center"/>
          </w:tcPr>
          <w:p w14:paraId="72144E16">
            <w:pPr>
              <w:spacing w:line="360" w:lineRule="exact"/>
              <w:ind w:firstLine="0" w:firstLineChars="0"/>
              <w:jc w:val="center"/>
              <w:rPr>
                <w:rFonts w:hint="default" w:ascii="Times New Roman" w:hAnsi="Times New Roman" w:eastAsia="宋体" w:cs="Times New Roman"/>
                <w:bCs/>
                <w:kern w:val="2"/>
                <w:sz w:val="21"/>
                <w:szCs w:val="24"/>
                <w:lang w:val="en-US" w:eastAsia="zh-CN" w:bidi="ar-SA"/>
              </w:rPr>
            </w:pPr>
            <w:r>
              <w:rPr>
                <w:rFonts w:hint="eastAsia"/>
                <w:bCs/>
                <w:sz w:val="21"/>
              </w:rPr>
              <w:t>6/</w:t>
            </w:r>
            <w:r>
              <w:rPr>
                <w:rFonts w:hint="eastAsia"/>
                <w:bCs/>
                <w:sz w:val="21"/>
                <w:lang w:val="en-US" w:eastAsia="zh-CN"/>
              </w:rPr>
              <w:t>96</w:t>
            </w:r>
          </w:p>
        </w:tc>
        <w:tc>
          <w:tcPr>
            <w:tcW w:w="1328" w:type="pct"/>
            <w:shd w:val="clear" w:color="auto" w:fill="auto"/>
            <w:vAlign w:val="center"/>
          </w:tcPr>
          <w:p w14:paraId="21F66C11">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Cs/>
                <w:kern w:val="2"/>
                <w:sz w:val="21"/>
                <w:szCs w:val="24"/>
                <w:lang w:val="en-US" w:eastAsia="zh-CN" w:bidi="ar-SA"/>
              </w:rPr>
            </w:pPr>
            <w:r>
              <w:rPr>
                <w:rFonts w:hint="eastAsia"/>
                <w:bCs/>
              </w:rPr>
              <w:t>能够独立运用食品质量管理知识和食品检验技能，完成日常质量控制工作和在线质检工作</w:t>
            </w:r>
          </w:p>
        </w:tc>
        <w:tc>
          <w:tcPr>
            <w:tcW w:w="1241" w:type="pct"/>
            <w:shd w:val="clear" w:color="auto" w:fill="auto"/>
            <w:vAlign w:val="center"/>
          </w:tcPr>
          <w:p w14:paraId="68C104C4">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Cs/>
                <w:kern w:val="2"/>
                <w:sz w:val="21"/>
                <w:szCs w:val="24"/>
                <w:lang w:val="en-US" w:eastAsia="zh-CN" w:bidi="ar-SA"/>
              </w:rPr>
            </w:pPr>
            <w:r>
              <w:rPr>
                <w:rFonts w:hint="eastAsia"/>
                <w:bCs/>
              </w:rPr>
              <w:t>参与企业食品品控工作</w:t>
            </w:r>
          </w:p>
        </w:tc>
        <w:tc>
          <w:tcPr>
            <w:tcW w:w="690" w:type="pct"/>
            <w:shd w:val="clear" w:color="auto" w:fill="auto"/>
            <w:vAlign w:val="center"/>
          </w:tcPr>
          <w:p w14:paraId="34034BF9">
            <w:pPr>
              <w:pStyle w:val="55"/>
              <w:ind w:firstLine="0" w:firstLineChars="0"/>
              <w:jc w:val="center"/>
              <w:rPr>
                <w:rFonts w:hint="eastAsia" w:ascii="Times New Roman" w:hAnsi="Times New Roman" w:eastAsia="宋体" w:cs="Times New Roman"/>
                <w:kern w:val="2"/>
                <w:sz w:val="21"/>
                <w:szCs w:val="24"/>
                <w:lang w:val="en-US" w:eastAsia="zh-CN" w:bidi="ar-SA"/>
              </w:rPr>
            </w:pPr>
            <w:r>
              <w:rPr>
                <w:rFonts w:hint="eastAsia"/>
              </w:rPr>
              <w:t>校外实训基地</w:t>
            </w:r>
          </w:p>
        </w:tc>
      </w:tr>
      <w:tr w14:paraId="5213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shd w:val="clear" w:color="auto" w:fill="auto"/>
            <w:vAlign w:val="center"/>
          </w:tcPr>
          <w:p w14:paraId="1FA1021A">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16</w:t>
            </w:r>
          </w:p>
        </w:tc>
        <w:tc>
          <w:tcPr>
            <w:tcW w:w="569" w:type="pct"/>
            <w:shd w:val="clear" w:color="auto" w:fill="auto"/>
            <w:vAlign w:val="center"/>
          </w:tcPr>
          <w:p w14:paraId="4037DD2F">
            <w:pPr>
              <w:pStyle w:val="53"/>
              <w:rPr>
                <w:b w:val="0"/>
                <w:bCs/>
                <w:lang w:eastAsia="zh-CN"/>
              </w:rPr>
            </w:pPr>
            <w:r>
              <w:rPr>
                <w:rFonts w:hint="eastAsia"/>
                <w:b w:val="0"/>
                <w:bCs/>
                <w:lang w:eastAsia="zh-CN"/>
              </w:rPr>
              <w:t>岗位实习</w:t>
            </w:r>
          </w:p>
          <w:p w14:paraId="03B42BCD">
            <w:pPr>
              <w:pStyle w:val="53"/>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（顶岗实习）</w:t>
            </w:r>
          </w:p>
        </w:tc>
        <w:tc>
          <w:tcPr>
            <w:tcW w:w="403" w:type="pct"/>
            <w:shd w:val="clear" w:color="auto" w:fill="auto"/>
            <w:vAlign w:val="center"/>
          </w:tcPr>
          <w:p w14:paraId="0C02C866">
            <w:pPr>
              <w:pStyle w:val="53"/>
              <w:ind w:firstLine="0" w:firstLineChars="0"/>
              <w:rPr>
                <w:rFonts w:hint="eastAsia" w:ascii="Times New Roman" w:hAnsi="Times New Roman" w:eastAsia="宋体" w:cs="Times New Roman"/>
                <w:b w:val="0"/>
                <w:bCs/>
                <w:kern w:val="2"/>
                <w:sz w:val="21"/>
                <w:szCs w:val="24"/>
                <w:lang w:val="en-US" w:eastAsia="zh-CN" w:bidi="ar-SA"/>
              </w:rPr>
            </w:pPr>
            <w:r>
              <w:rPr>
                <w:rFonts w:hint="eastAsia"/>
                <w:b w:val="0"/>
                <w:bCs/>
                <w:kern w:val="2"/>
                <w:szCs w:val="24"/>
                <w:lang w:eastAsia="zh-CN" w:bidi="ar-SA"/>
              </w:rPr>
              <w:t>6</w:t>
            </w:r>
          </w:p>
        </w:tc>
        <w:tc>
          <w:tcPr>
            <w:tcW w:w="446" w:type="pct"/>
            <w:shd w:val="clear" w:color="auto" w:fill="auto"/>
            <w:vAlign w:val="center"/>
          </w:tcPr>
          <w:p w14:paraId="3CBF6AF9">
            <w:pPr>
              <w:pStyle w:val="53"/>
              <w:ind w:firstLine="0" w:firstLineChars="0"/>
              <w:rPr>
                <w:rFonts w:hint="eastAsia" w:ascii="Times New Roman" w:hAnsi="Times New Roman" w:eastAsia="宋体" w:cs="Times New Roman"/>
                <w:b w:val="0"/>
                <w:bCs/>
                <w:kern w:val="2"/>
                <w:sz w:val="21"/>
                <w:szCs w:val="24"/>
                <w:lang w:val="en-US" w:eastAsia="zh-CN" w:bidi="ar-SA"/>
              </w:rPr>
            </w:pPr>
            <w:r>
              <w:rPr>
                <w:rFonts w:hint="eastAsia"/>
                <w:b w:val="0"/>
                <w:bCs/>
                <w:kern w:val="2"/>
                <w:szCs w:val="24"/>
                <w:lang w:eastAsia="zh-CN" w:bidi="ar-SA"/>
              </w:rPr>
              <w:t>600</w:t>
            </w:r>
          </w:p>
        </w:tc>
        <w:tc>
          <w:tcPr>
            <w:tcW w:w="1328" w:type="pct"/>
            <w:shd w:val="clear" w:color="auto" w:fill="auto"/>
            <w:vAlign w:val="center"/>
          </w:tcPr>
          <w:p w14:paraId="1A0B2A89">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Cs/>
                <w:kern w:val="2"/>
                <w:sz w:val="21"/>
                <w:szCs w:val="24"/>
                <w:lang w:val="en-US" w:eastAsia="zh-CN" w:bidi="ar-SA"/>
              </w:rPr>
            </w:pPr>
            <w:r>
              <w:rPr>
                <w:rFonts w:hint="eastAsia"/>
                <w:bCs/>
              </w:rPr>
              <w:t>通过食品加工（类）专业岗位顶岗实习，使学生了解企业的运作、组织架构规章制度和企业文化；重点培养学生的动手操作能力；养成爱岗敬业、精益求精、诚实守信的职业道德和职业素养，为毕业后从事食品加工岗位奠定基础。</w:t>
            </w:r>
          </w:p>
        </w:tc>
        <w:tc>
          <w:tcPr>
            <w:tcW w:w="1241" w:type="pct"/>
            <w:shd w:val="clear" w:color="auto" w:fill="auto"/>
            <w:vAlign w:val="center"/>
          </w:tcPr>
          <w:p w14:paraId="727908DE">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Cs/>
                <w:kern w:val="2"/>
                <w:sz w:val="21"/>
                <w:szCs w:val="24"/>
                <w:lang w:val="en-US" w:eastAsia="zh-CN" w:bidi="ar-SA"/>
              </w:rPr>
            </w:pPr>
            <w:r>
              <w:rPr>
                <w:rFonts w:hint="eastAsia"/>
                <w:bCs/>
              </w:rPr>
              <w:t>岗位的典型工作流程、工作内容及核心技能等环节的专业知识和职业技能</w:t>
            </w:r>
          </w:p>
        </w:tc>
        <w:tc>
          <w:tcPr>
            <w:tcW w:w="690" w:type="pct"/>
            <w:shd w:val="clear" w:color="auto" w:fill="auto"/>
            <w:vAlign w:val="center"/>
          </w:tcPr>
          <w:p w14:paraId="2A41A326">
            <w:pPr>
              <w:pStyle w:val="55"/>
              <w:ind w:firstLine="0" w:firstLineChars="0"/>
              <w:jc w:val="center"/>
              <w:rPr>
                <w:rFonts w:hint="eastAsia" w:ascii="Times New Roman" w:hAnsi="Times New Roman" w:eastAsia="宋体" w:cs="Times New Roman"/>
                <w:kern w:val="2"/>
                <w:sz w:val="21"/>
                <w:szCs w:val="24"/>
                <w:lang w:val="en-US" w:eastAsia="zh-CN" w:bidi="ar-SA"/>
              </w:rPr>
            </w:pPr>
            <w:r>
              <w:rPr>
                <w:rFonts w:hint="eastAsia"/>
              </w:rPr>
              <w:t>校外企业</w:t>
            </w:r>
          </w:p>
        </w:tc>
      </w:tr>
    </w:tbl>
    <w:p w14:paraId="14C73899">
      <w:pPr>
        <w:pageBreakBefore w:val="0"/>
        <w:kinsoku/>
        <w:wordWrap/>
        <w:overflowPunct/>
        <w:topLinePunct w:val="0"/>
        <w:autoSpaceDE/>
        <w:autoSpaceDN/>
        <w:bidi w:val="0"/>
        <w:adjustRightInd w:val="0"/>
        <w:snapToGrid w:val="0"/>
        <w:spacing w:line="360" w:lineRule="auto"/>
        <w:ind w:left="0" w:right="0" w:rightChars="0" w:firstLine="482" w:firstLineChars="200"/>
        <w:rPr>
          <w:rFonts w:hAnsi="宋体"/>
          <w:b/>
          <w:sz w:val="24"/>
        </w:rPr>
      </w:pPr>
    </w:p>
    <w:p w14:paraId="2ADA6A42">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73" w:name="_Toc5369"/>
      <w:bookmarkStart w:id="74" w:name="_Toc16750"/>
      <w:r>
        <w:rPr>
          <w:rFonts w:hint="eastAsia" w:asciiTheme="minorEastAsia" w:hAnsiTheme="minorEastAsia" w:eastAsiaTheme="minorEastAsia" w:cstheme="minorEastAsia"/>
          <w:sz w:val="28"/>
          <w:szCs w:val="28"/>
          <w:lang w:val="en-US" w:eastAsia="zh-CN"/>
        </w:rPr>
        <w:t>（三）综合实训活动安排表</w:t>
      </w:r>
      <w:bookmarkEnd w:id="73"/>
    </w:p>
    <w:p w14:paraId="766742C2">
      <w:pPr>
        <w:pageBreakBefore w:val="0"/>
        <w:kinsoku/>
        <w:wordWrap/>
        <w:overflowPunct/>
        <w:topLinePunct w:val="0"/>
        <w:autoSpaceDE/>
        <w:autoSpaceDN/>
        <w:bidi w:val="0"/>
        <w:spacing w:line="360" w:lineRule="auto"/>
        <w:ind w:left="0" w:right="0" w:rightChars="0" w:firstLine="442" w:firstLineChars="200"/>
        <w:jc w:val="center"/>
        <w:outlineLvl w:val="2"/>
        <w:rPr>
          <w:rFonts w:hint="eastAsia" w:ascii="宋体" w:hAnsi="宋体" w:eastAsia="宋体" w:cs="宋体"/>
          <w:b/>
          <w:sz w:val="22"/>
          <w:szCs w:val="18"/>
          <w:lang w:eastAsia="zh-CN"/>
        </w:rPr>
      </w:pPr>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4</w:t>
      </w:r>
      <w:r>
        <w:rPr>
          <w:rFonts w:hint="eastAsia" w:ascii="宋体" w:hAnsi="宋体" w:cs="宋体"/>
          <w:b/>
          <w:sz w:val="22"/>
          <w:szCs w:val="18"/>
        </w:rPr>
        <w:t xml:space="preserve">  综合实训活动安排表</w:t>
      </w:r>
      <w:r>
        <w:rPr>
          <w:rFonts w:hint="eastAsia" w:ascii="宋体" w:hAnsi="宋体" w:cs="宋体"/>
          <w:b/>
          <w:sz w:val="22"/>
          <w:szCs w:val="18"/>
          <w:lang w:eastAsia="zh-CN"/>
        </w:rPr>
        <w:t>（</w:t>
      </w:r>
      <w:r>
        <w:rPr>
          <w:rFonts w:hint="eastAsia" w:ascii="宋体" w:hAnsi="宋体" w:cs="宋体"/>
          <w:b/>
          <w:sz w:val="22"/>
          <w:szCs w:val="18"/>
          <w:lang w:val="en-US" w:eastAsia="zh-CN"/>
        </w:rPr>
        <w:t>第五学期</w:t>
      </w:r>
      <w:r>
        <w:rPr>
          <w:rFonts w:hint="eastAsia" w:ascii="宋体" w:hAnsi="宋体" w:cs="宋体"/>
          <w:b/>
          <w:sz w:val="22"/>
          <w:szCs w:val="18"/>
          <w:lang w:eastAsia="zh-CN"/>
        </w:rPr>
        <w:t>）</w:t>
      </w:r>
    </w:p>
    <w:tbl>
      <w:tblPr>
        <w:tblStyle w:val="27"/>
        <w:tblW w:w="510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59"/>
        <w:gridCol w:w="1136"/>
        <w:gridCol w:w="2522"/>
        <w:gridCol w:w="3833"/>
      </w:tblGrid>
      <w:tr w14:paraId="2DCD7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579A3334">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实训项目</w:t>
            </w:r>
          </w:p>
        </w:tc>
        <w:tc>
          <w:tcPr>
            <w:tcW w:w="649" w:type="pct"/>
            <w:shd w:val="clear" w:color="auto" w:fill="auto"/>
            <w:vAlign w:val="center"/>
          </w:tcPr>
          <w:p w14:paraId="41E96E1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周数(学时)</w:t>
            </w:r>
          </w:p>
        </w:tc>
        <w:tc>
          <w:tcPr>
            <w:tcW w:w="1441" w:type="pct"/>
            <w:shd w:val="clear" w:color="auto" w:fill="auto"/>
            <w:vAlign w:val="center"/>
          </w:tcPr>
          <w:p w14:paraId="66CFF7B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实训内容</w:t>
            </w:r>
          </w:p>
        </w:tc>
        <w:tc>
          <w:tcPr>
            <w:tcW w:w="2190" w:type="pct"/>
            <w:shd w:val="clear" w:color="auto" w:fill="auto"/>
            <w:vAlign w:val="center"/>
          </w:tcPr>
          <w:p w14:paraId="6D9BC0E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实训考核</w:t>
            </w:r>
          </w:p>
        </w:tc>
      </w:tr>
      <w:tr w14:paraId="77DF8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2F8A763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default"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食品检验基础技能</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实训</w:t>
            </w:r>
          </w:p>
        </w:tc>
        <w:tc>
          <w:tcPr>
            <w:tcW w:w="649" w:type="pct"/>
            <w:shd w:val="clear" w:color="auto" w:fill="auto"/>
            <w:vAlign w:val="center"/>
          </w:tcPr>
          <w:p w14:paraId="22085AFA">
            <w:pPr>
              <w:spacing w:line="360" w:lineRule="exact"/>
              <w:ind w:firstLine="0" w:firstLineChars="0"/>
              <w:jc w:val="center"/>
              <w:rPr>
                <w:rFonts w:hint="default" w:ascii="Times New Roman" w:hAnsi="Times New Roman" w:eastAsia="宋体" w:cs="Times New Roman"/>
                <w:bCs/>
                <w:kern w:val="2"/>
                <w:sz w:val="21"/>
                <w:szCs w:val="24"/>
                <w:lang w:val="en-US" w:eastAsia="zh-CN" w:bidi="ar-SA"/>
              </w:rPr>
            </w:pPr>
            <w:r>
              <w:rPr>
                <w:rFonts w:hint="eastAsia"/>
                <w:bCs/>
                <w:sz w:val="21"/>
              </w:rPr>
              <w:t>6/</w:t>
            </w:r>
            <w:r>
              <w:rPr>
                <w:rFonts w:hint="eastAsia"/>
                <w:bCs/>
                <w:sz w:val="21"/>
                <w:lang w:val="en-US" w:eastAsia="zh-CN"/>
              </w:rPr>
              <w:t>96</w:t>
            </w:r>
          </w:p>
        </w:tc>
        <w:tc>
          <w:tcPr>
            <w:tcW w:w="1441" w:type="pct"/>
            <w:shd w:val="clear" w:color="auto" w:fill="auto"/>
            <w:vAlign w:val="center"/>
          </w:tcPr>
          <w:p w14:paraId="7247C74E">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bCs/>
                <w:lang w:val="en-US" w:eastAsia="zh-CN"/>
              </w:rPr>
            </w:pPr>
            <w:r>
              <w:rPr>
                <w:rFonts w:hint="eastAsia"/>
                <w:bCs/>
              </w:rPr>
              <w:t>掌握食品检验实验室的基础操作规范，熟悉常用仪器设备的原理与使用，培养严谨的实验习惯和安全意识。</w:t>
            </w:r>
          </w:p>
        </w:tc>
        <w:tc>
          <w:tcPr>
            <w:tcW w:w="2190" w:type="pct"/>
            <w:shd w:val="clear" w:color="auto" w:fill="auto"/>
            <w:vAlign w:val="center"/>
          </w:tcPr>
          <w:p w14:paraId="31B1C012">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bCs/>
              </w:rPr>
            </w:pPr>
            <w:r>
              <w:rPr>
                <w:rFonts w:hint="eastAsia"/>
                <w:bCs/>
              </w:rPr>
              <w:t>过程考核（50%）</w:t>
            </w:r>
            <w:r>
              <w:rPr>
                <w:rFonts w:hint="default"/>
                <w:bCs/>
              </w:rPr>
              <w:t>：仪器操作规范性（30%）、安全规范遵守（10%）、实验记录完整性（10%）。</w:t>
            </w:r>
          </w:p>
          <w:p w14:paraId="5B91E81F">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bCs/>
                <w:lang w:val="en-US" w:eastAsia="zh-CN"/>
              </w:rPr>
            </w:pPr>
            <w:r>
              <w:rPr>
                <w:rFonts w:hint="default"/>
                <w:bCs/>
              </w:rPr>
              <w:t>技能考核（50%）：现场操作测试（如配制 0.1mol/L 的 NaOH 溶液并标定）。</w:t>
            </w:r>
          </w:p>
        </w:tc>
      </w:tr>
      <w:tr w14:paraId="33290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721A988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default"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食品理化与微生物检验</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实训</w:t>
            </w:r>
          </w:p>
        </w:tc>
        <w:tc>
          <w:tcPr>
            <w:tcW w:w="649" w:type="pct"/>
            <w:shd w:val="clear" w:color="auto" w:fill="auto"/>
            <w:vAlign w:val="center"/>
          </w:tcPr>
          <w:p w14:paraId="2EEBD8CE">
            <w:pPr>
              <w:spacing w:line="360" w:lineRule="exact"/>
              <w:ind w:firstLine="0" w:firstLineChars="0"/>
              <w:jc w:val="center"/>
              <w:rPr>
                <w:rFonts w:hint="default" w:ascii="Times New Roman" w:hAnsi="Times New Roman" w:eastAsia="宋体" w:cs="Times New Roman"/>
                <w:bCs/>
                <w:kern w:val="2"/>
                <w:sz w:val="21"/>
                <w:szCs w:val="24"/>
                <w:lang w:val="en-US" w:eastAsia="zh-CN" w:bidi="ar-SA"/>
              </w:rPr>
            </w:pPr>
            <w:r>
              <w:rPr>
                <w:rFonts w:hint="eastAsia"/>
                <w:bCs/>
                <w:sz w:val="21"/>
              </w:rPr>
              <w:t>6/</w:t>
            </w:r>
            <w:r>
              <w:rPr>
                <w:rFonts w:hint="eastAsia"/>
                <w:bCs/>
                <w:sz w:val="21"/>
                <w:lang w:val="en-US" w:eastAsia="zh-CN"/>
              </w:rPr>
              <w:t>96</w:t>
            </w:r>
          </w:p>
        </w:tc>
        <w:tc>
          <w:tcPr>
            <w:tcW w:w="1441" w:type="pct"/>
            <w:shd w:val="clear" w:color="auto" w:fill="auto"/>
            <w:vAlign w:val="center"/>
          </w:tcPr>
          <w:p w14:paraId="56379F05">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bCs/>
                <w:lang w:val="en-US" w:eastAsia="zh-CN"/>
              </w:rPr>
            </w:pPr>
            <w:r>
              <w:rPr>
                <w:rFonts w:hint="default"/>
                <w:bCs/>
              </w:rPr>
              <w:t>熟练掌握食品理化指标与微生物指标的检测方法，能依据国家标准（如 GB 5009 系列、GB 4789 系列）完成检测并出具报告。</w:t>
            </w:r>
          </w:p>
        </w:tc>
        <w:tc>
          <w:tcPr>
            <w:tcW w:w="2190" w:type="pct"/>
            <w:shd w:val="clear" w:color="auto" w:fill="auto"/>
            <w:vAlign w:val="center"/>
          </w:tcPr>
          <w:p w14:paraId="333E42EA">
            <w:pPr>
              <w:pStyle w:val="55"/>
              <w:keepNext w:val="0"/>
              <w:keepLines w:val="0"/>
              <w:pageBreakBefore w:val="0"/>
              <w:kinsoku/>
              <w:wordWrap/>
              <w:overflowPunct/>
              <w:topLinePunct w:val="0"/>
              <w:autoSpaceDE/>
              <w:autoSpaceDN/>
              <w:bidi w:val="0"/>
              <w:adjustRightInd/>
              <w:snapToGrid/>
              <w:ind w:firstLine="420" w:firstLineChars="200"/>
              <w:textAlignment w:val="auto"/>
              <w:rPr>
                <w:rFonts w:hint="default"/>
                <w:bCs/>
              </w:rPr>
            </w:pPr>
            <w:r>
              <w:rPr>
                <w:rFonts w:hint="default"/>
                <w:bCs/>
              </w:rPr>
              <w:t>过程考核（40%）：实验操作规范性（20%）、原始数据记录（10%）、团队协作（10%）。</w:t>
            </w:r>
          </w:p>
          <w:p w14:paraId="350619C3">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bCs/>
                <w:lang w:val="en-US" w:eastAsia="zh-CN"/>
              </w:rPr>
            </w:pPr>
            <w:r>
              <w:rPr>
                <w:rFonts w:hint="default"/>
                <w:bCs/>
              </w:rPr>
              <w:t>项目考核（60%）：完成指定样品的全项检测（如某饮料的理化与微生物指标检测），提交完整报告并答辩。</w:t>
            </w:r>
          </w:p>
        </w:tc>
      </w:tr>
      <w:tr w14:paraId="35187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5C8FF85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default"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食品检验综合项目</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实训</w:t>
            </w:r>
          </w:p>
        </w:tc>
        <w:tc>
          <w:tcPr>
            <w:tcW w:w="649" w:type="pct"/>
            <w:shd w:val="clear" w:color="auto" w:fill="auto"/>
            <w:vAlign w:val="center"/>
          </w:tcPr>
          <w:p w14:paraId="703C834A">
            <w:pPr>
              <w:spacing w:line="360" w:lineRule="exact"/>
              <w:ind w:firstLine="0" w:firstLineChars="0"/>
              <w:jc w:val="center"/>
              <w:rPr>
                <w:rFonts w:hint="default" w:ascii="Times New Roman" w:hAnsi="Times New Roman" w:eastAsia="宋体" w:cs="Times New Roman"/>
                <w:bCs/>
                <w:kern w:val="2"/>
                <w:sz w:val="21"/>
                <w:szCs w:val="24"/>
                <w:lang w:val="en-US" w:eastAsia="zh-CN" w:bidi="ar-SA"/>
              </w:rPr>
            </w:pPr>
            <w:r>
              <w:rPr>
                <w:rFonts w:hint="eastAsia"/>
                <w:bCs/>
                <w:sz w:val="21"/>
              </w:rPr>
              <w:t>6/</w:t>
            </w:r>
            <w:r>
              <w:rPr>
                <w:rFonts w:hint="eastAsia"/>
                <w:bCs/>
                <w:sz w:val="21"/>
                <w:lang w:val="en-US" w:eastAsia="zh-CN"/>
              </w:rPr>
              <w:t>96</w:t>
            </w:r>
          </w:p>
        </w:tc>
        <w:tc>
          <w:tcPr>
            <w:tcW w:w="1441" w:type="pct"/>
            <w:shd w:val="clear" w:color="auto" w:fill="auto"/>
            <w:vAlign w:val="center"/>
          </w:tcPr>
          <w:p w14:paraId="41A55EF3">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bCs/>
                <w:lang w:val="en-US" w:eastAsia="zh-CN"/>
              </w:rPr>
            </w:pPr>
            <w:r>
              <w:rPr>
                <w:rFonts w:hint="default"/>
                <w:bCs/>
              </w:rPr>
              <w:t>模拟真实工作场景，培养学生综合运用多技术解决复杂问题的能力，提升职业素养与团队协作能力。</w:t>
            </w:r>
          </w:p>
        </w:tc>
        <w:tc>
          <w:tcPr>
            <w:tcW w:w="2190" w:type="pct"/>
            <w:shd w:val="clear" w:color="auto" w:fill="auto"/>
            <w:vAlign w:val="center"/>
          </w:tcPr>
          <w:p w14:paraId="6198C66F">
            <w:pPr>
              <w:pStyle w:val="55"/>
              <w:keepNext w:val="0"/>
              <w:keepLines w:val="0"/>
              <w:pageBreakBefore w:val="0"/>
              <w:kinsoku/>
              <w:wordWrap/>
              <w:overflowPunct/>
              <w:topLinePunct w:val="0"/>
              <w:autoSpaceDE/>
              <w:autoSpaceDN/>
              <w:bidi w:val="0"/>
              <w:adjustRightInd/>
              <w:snapToGrid/>
              <w:ind w:firstLine="420" w:firstLineChars="200"/>
              <w:textAlignment w:val="auto"/>
              <w:rPr>
                <w:rFonts w:hint="default"/>
                <w:bCs/>
              </w:rPr>
            </w:pPr>
            <w:r>
              <w:rPr>
                <w:rFonts w:hint="default"/>
                <w:bCs/>
              </w:rPr>
              <w:t>过程考核（30%）：项目方案合理性（10%）、进度把控（10%）、沟通协作（10%）。</w:t>
            </w:r>
          </w:p>
          <w:p w14:paraId="66163E06">
            <w:pPr>
              <w:pStyle w:val="55"/>
              <w:keepNext w:val="0"/>
              <w:keepLines w:val="0"/>
              <w:pageBreakBefore w:val="0"/>
              <w:kinsoku/>
              <w:wordWrap/>
              <w:overflowPunct/>
              <w:topLinePunct w:val="0"/>
              <w:autoSpaceDE/>
              <w:autoSpaceDN/>
              <w:bidi w:val="0"/>
              <w:adjustRightInd/>
              <w:snapToGrid/>
              <w:ind w:firstLine="420" w:firstLineChars="200"/>
              <w:textAlignment w:val="auto"/>
              <w:rPr>
                <w:rFonts w:hint="default"/>
                <w:bCs/>
              </w:rPr>
            </w:pPr>
            <w:r>
              <w:rPr>
                <w:rFonts w:hint="default"/>
                <w:bCs/>
              </w:rPr>
              <w:t>成果考核（70%）：</w:t>
            </w:r>
          </w:p>
          <w:p w14:paraId="645D89AE">
            <w:pPr>
              <w:pStyle w:val="55"/>
              <w:keepNext w:val="0"/>
              <w:keepLines w:val="0"/>
              <w:pageBreakBefore w:val="0"/>
              <w:kinsoku/>
              <w:wordWrap/>
              <w:overflowPunct/>
              <w:topLinePunct w:val="0"/>
              <w:autoSpaceDE/>
              <w:autoSpaceDN/>
              <w:bidi w:val="0"/>
              <w:adjustRightInd/>
              <w:snapToGrid/>
              <w:ind w:firstLine="420" w:firstLineChars="200"/>
              <w:textAlignment w:val="auto"/>
              <w:rPr>
                <w:rFonts w:hint="default"/>
                <w:bCs/>
              </w:rPr>
            </w:pPr>
            <w:r>
              <w:rPr>
                <w:rFonts w:hint="default"/>
                <w:bCs/>
              </w:rPr>
              <w:t>检测报告完整性与准确性（40%）。</w:t>
            </w:r>
          </w:p>
          <w:p w14:paraId="7F114A7D">
            <w:pPr>
              <w:pStyle w:val="55"/>
              <w:keepNext w:val="0"/>
              <w:keepLines w:val="0"/>
              <w:pageBreakBefore w:val="0"/>
              <w:kinsoku/>
              <w:wordWrap/>
              <w:overflowPunct/>
              <w:topLinePunct w:val="0"/>
              <w:autoSpaceDE/>
              <w:autoSpaceDN/>
              <w:bidi w:val="0"/>
              <w:adjustRightInd/>
              <w:snapToGrid/>
              <w:ind w:firstLine="420" w:firstLineChars="200"/>
              <w:textAlignment w:val="auto"/>
              <w:rPr>
                <w:rFonts w:hint="default"/>
                <w:bCs/>
              </w:rPr>
            </w:pPr>
            <w:r>
              <w:rPr>
                <w:rFonts w:hint="default"/>
                <w:bCs/>
              </w:rPr>
              <w:t>项目汇报答辩（20%）：PPT 展示、现场问题解答。</w:t>
            </w:r>
          </w:p>
          <w:p w14:paraId="6CDF0907">
            <w:pPr>
              <w:pStyle w:val="55"/>
              <w:keepNext w:val="0"/>
              <w:keepLines w:val="0"/>
              <w:pageBreakBefore w:val="0"/>
              <w:kinsoku/>
              <w:wordWrap/>
              <w:overflowPunct/>
              <w:topLinePunct w:val="0"/>
              <w:autoSpaceDE/>
              <w:autoSpaceDN/>
              <w:bidi w:val="0"/>
              <w:adjustRightInd/>
              <w:snapToGrid/>
              <w:ind w:firstLine="420" w:firstLineChars="200"/>
              <w:textAlignment w:val="auto"/>
              <w:rPr>
                <w:rFonts w:hint="eastAsia"/>
                <w:bCs/>
                <w:lang w:val="en-US" w:eastAsia="zh-CN"/>
              </w:rPr>
            </w:pPr>
            <w:r>
              <w:rPr>
                <w:rFonts w:hint="default"/>
                <w:bCs/>
              </w:rPr>
              <w:t>职业素养表现（10%）：操作规范性、数据真实性、团队领导力。</w:t>
            </w:r>
          </w:p>
        </w:tc>
      </w:tr>
    </w:tbl>
    <w:p w14:paraId="2A48012B">
      <w:pPr>
        <w:bidi w:val="0"/>
        <w:rPr>
          <w:rFonts w:hint="eastAsia"/>
          <w:lang w:val="en-US" w:eastAsia="zh-CN"/>
        </w:rPr>
      </w:pPr>
    </w:p>
    <w:p w14:paraId="611F6798">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75" w:name="_Toc23932"/>
      <w:r>
        <w:rPr>
          <w:rFonts w:hint="eastAsia" w:asciiTheme="minorEastAsia" w:hAnsiTheme="minorEastAsia" w:eastAsiaTheme="minorEastAsia" w:cstheme="minorEastAsia"/>
          <w:sz w:val="28"/>
          <w:szCs w:val="28"/>
          <w:lang w:val="en-US" w:eastAsia="zh-CN"/>
        </w:rPr>
        <w:t>（四）岗位实习活动安排表</w:t>
      </w:r>
      <w:bookmarkEnd w:id="72"/>
      <w:bookmarkEnd w:id="74"/>
      <w:bookmarkEnd w:id="75"/>
    </w:p>
    <w:p w14:paraId="385063A3">
      <w:pPr>
        <w:pageBreakBefore w:val="0"/>
        <w:kinsoku/>
        <w:wordWrap/>
        <w:overflowPunct/>
        <w:topLinePunct w:val="0"/>
        <w:autoSpaceDE/>
        <w:autoSpaceDN/>
        <w:bidi w:val="0"/>
        <w:spacing w:line="360" w:lineRule="auto"/>
        <w:ind w:left="0" w:right="0" w:rightChars="0" w:firstLine="442" w:firstLineChars="200"/>
        <w:jc w:val="center"/>
        <w:outlineLvl w:val="2"/>
        <w:rPr>
          <w:rFonts w:hint="eastAsia" w:ascii="宋体" w:hAnsi="宋体" w:eastAsia="宋体" w:cs="宋体"/>
          <w:b/>
          <w:sz w:val="22"/>
          <w:szCs w:val="18"/>
          <w:lang w:eastAsia="zh-CN"/>
        </w:rPr>
      </w:pPr>
      <w:bookmarkStart w:id="76" w:name="_Toc26846"/>
      <w:bookmarkStart w:id="77" w:name="_Toc31486"/>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5</w:t>
      </w:r>
      <w:r>
        <w:rPr>
          <w:rFonts w:hint="eastAsia" w:ascii="宋体" w:hAnsi="宋体" w:cs="宋体"/>
          <w:b/>
          <w:sz w:val="22"/>
          <w:szCs w:val="18"/>
        </w:rPr>
        <w:t xml:space="preserve">  岗位实习活动安排表</w:t>
      </w:r>
      <w:bookmarkEnd w:id="76"/>
      <w:bookmarkEnd w:id="77"/>
      <w:r>
        <w:rPr>
          <w:rFonts w:hint="eastAsia" w:ascii="宋体" w:hAnsi="宋体" w:cs="宋体"/>
          <w:b/>
          <w:sz w:val="22"/>
          <w:szCs w:val="18"/>
          <w:lang w:eastAsia="zh-CN"/>
        </w:rPr>
        <w:t>（</w:t>
      </w:r>
      <w:r>
        <w:rPr>
          <w:rFonts w:hint="eastAsia" w:ascii="宋体" w:hAnsi="宋体" w:cs="宋体"/>
          <w:b/>
          <w:sz w:val="22"/>
          <w:szCs w:val="18"/>
          <w:lang w:val="en-US" w:eastAsia="zh-CN"/>
        </w:rPr>
        <w:t>第六学期</w:t>
      </w:r>
      <w:r>
        <w:rPr>
          <w:rFonts w:hint="eastAsia" w:ascii="宋体" w:hAnsi="宋体" w:cs="宋体"/>
          <w:b/>
          <w:sz w:val="22"/>
          <w:szCs w:val="18"/>
          <w:lang w:eastAsia="zh-CN"/>
        </w:rPr>
        <w:t>）</w:t>
      </w:r>
    </w:p>
    <w:tbl>
      <w:tblPr>
        <w:tblStyle w:val="27"/>
        <w:tblW w:w="8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7"/>
        <w:gridCol w:w="1053"/>
        <w:gridCol w:w="1177"/>
        <w:gridCol w:w="5093"/>
      </w:tblGrid>
      <w:tr w14:paraId="649D2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257" w:type="dxa"/>
            <w:shd w:val="clear" w:color="auto" w:fill="auto"/>
            <w:vAlign w:val="center"/>
          </w:tcPr>
          <w:p w14:paraId="572D7BC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实习目标</w:t>
            </w:r>
          </w:p>
        </w:tc>
        <w:tc>
          <w:tcPr>
            <w:tcW w:w="7323" w:type="dxa"/>
            <w:gridSpan w:val="3"/>
            <w:shd w:val="clear" w:color="auto" w:fill="auto"/>
            <w:vAlign w:val="center"/>
          </w:tcPr>
          <w:p w14:paraId="222EF8C6">
            <w:pPr>
              <w:pStyle w:val="55"/>
              <w:keepNext w:val="0"/>
              <w:keepLines w:val="0"/>
              <w:pageBreakBefore w:val="0"/>
              <w:kinsoku/>
              <w:wordWrap/>
              <w:overflowPunct/>
              <w:topLinePunct w:val="0"/>
              <w:autoSpaceDE/>
              <w:autoSpaceDN/>
              <w:bidi w:val="0"/>
              <w:adjustRightInd/>
              <w:snapToGrid/>
              <w:spacing w:line="360" w:lineRule="exact"/>
              <w:ind w:left="0" w:right="0" w:rightChars="0"/>
              <w:textAlignment w:val="auto"/>
              <w:rPr>
                <w:rFonts w:hint="eastAsia" w:asciiTheme="minorEastAsia" w:hAnsiTheme="minorEastAsia" w:eastAsiaTheme="minorEastAsia" w:cstheme="minorEastAsia"/>
                <w:sz w:val="21"/>
                <w:szCs w:val="21"/>
              </w:rPr>
            </w:pPr>
          </w:p>
        </w:tc>
      </w:tr>
      <w:tr w14:paraId="1F4CB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restart"/>
            <w:shd w:val="clear" w:color="auto" w:fill="auto"/>
            <w:vAlign w:val="center"/>
          </w:tcPr>
          <w:p w14:paraId="049CB88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实习安排</w:t>
            </w:r>
          </w:p>
        </w:tc>
        <w:tc>
          <w:tcPr>
            <w:tcW w:w="1053" w:type="dxa"/>
            <w:shd w:val="clear" w:color="auto" w:fill="auto"/>
            <w:vAlign w:val="center"/>
          </w:tcPr>
          <w:p w14:paraId="4C1E458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实习项目</w:t>
            </w:r>
          </w:p>
        </w:tc>
        <w:tc>
          <w:tcPr>
            <w:tcW w:w="1177" w:type="dxa"/>
            <w:shd w:val="clear" w:color="auto" w:fill="auto"/>
            <w:vAlign w:val="center"/>
          </w:tcPr>
          <w:p w14:paraId="30668C1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周数(学时)</w:t>
            </w:r>
          </w:p>
        </w:tc>
        <w:tc>
          <w:tcPr>
            <w:tcW w:w="5093" w:type="dxa"/>
            <w:shd w:val="clear" w:color="auto" w:fill="auto"/>
            <w:vAlign w:val="center"/>
          </w:tcPr>
          <w:p w14:paraId="39CF85B1">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实习内容</w:t>
            </w:r>
          </w:p>
        </w:tc>
      </w:tr>
      <w:tr w14:paraId="73B6A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5258C7D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053" w:type="dxa"/>
            <w:shd w:val="clear" w:color="auto" w:fill="auto"/>
            <w:vAlign w:val="center"/>
          </w:tcPr>
          <w:p w14:paraId="5913C9A9">
            <w:pPr>
              <w:pStyle w:val="4"/>
              <w:keepNext w:val="0"/>
              <w:keepLines w:val="0"/>
              <w:widowControl/>
              <w:suppressLineNumbers w:val="0"/>
              <w:pBdr>
                <w:bottom w:val="none" w:color="auto" w:sz="0" w:space="0"/>
              </w:pBdr>
              <w:shd w:val="clear" w:fill="FFFFFF"/>
              <w:ind w:left="0" w:leftChars="0" w:firstLine="0" w:firstLineChars="0"/>
              <w:jc w:val="center"/>
              <w:rPr>
                <w:rFonts w:hint="eastAsia" w:ascii="Times New Roman" w:hAnsi="Times New Roman" w:eastAsia="宋体" w:cs="Times New Roman"/>
                <w:b w:val="0"/>
                <w:bCs/>
                <w:kern w:val="0"/>
                <w:sz w:val="21"/>
                <w:szCs w:val="21"/>
                <w:lang w:val="en-US" w:eastAsia="zh-CN" w:bidi="en-US"/>
              </w:rPr>
            </w:pPr>
            <w:r>
              <w:rPr>
                <w:rFonts w:hint="default" w:ascii="Times New Roman" w:hAnsi="Times New Roman" w:eastAsia="宋体" w:cs="Times New Roman"/>
                <w:b w:val="0"/>
                <w:bCs/>
                <w:kern w:val="0"/>
                <w:sz w:val="21"/>
                <w:szCs w:val="21"/>
                <w:lang w:val="en-US" w:eastAsia="en-US" w:bidi="en-US"/>
              </w:rPr>
              <w:t>食品理化检测</w:t>
            </w:r>
            <w:r>
              <w:rPr>
                <w:rFonts w:hint="eastAsia" w:ascii="Times New Roman" w:hAnsi="Times New Roman" w:eastAsia="宋体" w:cs="Times New Roman"/>
                <w:b w:val="0"/>
                <w:bCs/>
                <w:kern w:val="0"/>
                <w:sz w:val="21"/>
                <w:szCs w:val="21"/>
                <w:lang w:val="en-US" w:eastAsia="zh-CN" w:bidi="en-US"/>
              </w:rPr>
              <w:t>员</w:t>
            </w:r>
          </w:p>
          <w:p w14:paraId="1E50F80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imes New Roman" w:hAnsi="Times New Roman" w:eastAsia="宋体" w:cs="Times New Roman"/>
                <w:b w:val="0"/>
                <w:bCs/>
                <w:kern w:val="0"/>
                <w:sz w:val="21"/>
                <w:szCs w:val="21"/>
                <w:lang w:val="en-US" w:eastAsia="en-US" w:bidi="en-US"/>
              </w:rPr>
            </w:pPr>
          </w:p>
        </w:tc>
        <w:tc>
          <w:tcPr>
            <w:tcW w:w="1177" w:type="dxa"/>
            <w:shd w:val="clear" w:color="auto" w:fill="auto"/>
            <w:vAlign w:val="center"/>
          </w:tcPr>
          <w:p w14:paraId="7BF5AD69">
            <w:pPr>
              <w:pStyle w:val="53"/>
              <w:ind w:firstLine="0" w:firstLineChars="0"/>
              <w:rPr>
                <w:rFonts w:hint="eastAsia" w:ascii="Times New Roman" w:hAnsi="Times New Roman" w:eastAsia="宋体" w:cs="Times New Roman"/>
                <w:b w:val="0"/>
                <w:bCs/>
                <w:kern w:val="0"/>
                <w:sz w:val="21"/>
                <w:szCs w:val="21"/>
                <w:lang w:val="en-US" w:eastAsia="zh-CN" w:bidi="en-US"/>
              </w:rPr>
            </w:pPr>
            <w:r>
              <w:rPr>
                <w:rFonts w:hint="eastAsia" w:ascii="Times New Roman" w:hAnsi="Times New Roman" w:eastAsia="宋体" w:cs="Times New Roman"/>
                <w:b w:val="0"/>
                <w:bCs/>
                <w:kern w:val="0"/>
                <w:sz w:val="21"/>
                <w:szCs w:val="21"/>
                <w:lang w:val="en-US" w:eastAsia="zh-CN" w:bidi="en-US"/>
              </w:rPr>
              <w:t>8(240)</w:t>
            </w:r>
          </w:p>
        </w:tc>
        <w:tc>
          <w:tcPr>
            <w:tcW w:w="5093" w:type="dxa"/>
            <w:shd w:val="clear" w:color="auto" w:fill="auto"/>
            <w:vAlign w:val="center"/>
          </w:tcPr>
          <w:p w14:paraId="6213E571">
            <w:pPr>
              <w:pStyle w:val="53"/>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ascii="Times New Roman" w:hAnsi="Times New Roman" w:eastAsia="宋体" w:cs="Times New Roman"/>
                <w:b w:val="0"/>
                <w:bCs/>
                <w:kern w:val="0"/>
                <w:sz w:val="21"/>
                <w:szCs w:val="21"/>
                <w:lang w:val="en-US" w:eastAsia="zh-CN" w:bidi="en-US"/>
              </w:rPr>
            </w:pPr>
            <w:r>
              <w:rPr>
                <w:rFonts w:hint="eastAsia"/>
                <w:b w:val="0"/>
                <w:bCs/>
                <w:lang w:val="en-US" w:eastAsia="zh-CN"/>
              </w:rPr>
              <w:t>负责</w:t>
            </w:r>
            <w:r>
              <w:rPr>
                <w:rFonts w:hint="eastAsia" w:ascii="Times New Roman" w:hAnsi="Times New Roman" w:eastAsia="宋体" w:cs="Times New Roman"/>
                <w:b w:val="0"/>
                <w:bCs/>
                <w:kern w:val="0"/>
                <w:sz w:val="21"/>
                <w:szCs w:val="21"/>
                <w:lang w:val="en-US" w:eastAsia="zh-CN" w:bidi="en-US"/>
              </w:rPr>
              <w:t>食品样品的理化指标检测（如水分、蛋白质、脂肪、重金属、添加剂等），熟练使用天平、滴定仪、原子吸收光谱仪（AAS）、高效液相色谱仪（HPLC）等设备。</w:t>
            </w:r>
          </w:p>
          <w:p w14:paraId="65AE5EDC">
            <w:pPr>
              <w:pStyle w:val="53"/>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ascii="Times New Roman" w:hAnsi="Times New Roman" w:eastAsia="宋体" w:cs="Times New Roman"/>
                <w:b w:val="0"/>
                <w:bCs/>
                <w:kern w:val="0"/>
                <w:sz w:val="21"/>
                <w:szCs w:val="21"/>
                <w:lang w:val="en-US" w:eastAsia="zh-CN" w:bidi="en-US"/>
              </w:rPr>
            </w:pPr>
            <w:r>
              <w:rPr>
                <w:rFonts w:hint="default" w:ascii="Times New Roman" w:hAnsi="Times New Roman" w:eastAsia="宋体" w:cs="Times New Roman"/>
                <w:b w:val="0"/>
                <w:bCs/>
                <w:kern w:val="0"/>
                <w:sz w:val="21"/>
                <w:szCs w:val="21"/>
                <w:lang w:val="en-US" w:eastAsia="zh-CN" w:bidi="en-US"/>
              </w:rPr>
              <w:t>按照国家标准（如 GB 5009 系列）完成样品前处理、实验操作及数据记录，确保检测结果准确。</w:t>
            </w:r>
          </w:p>
        </w:tc>
      </w:tr>
      <w:tr w14:paraId="2FE27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7EFC348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053" w:type="dxa"/>
            <w:shd w:val="clear" w:color="auto" w:fill="auto"/>
            <w:vAlign w:val="center"/>
          </w:tcPr>
          <w:p w14:paraId="0EF3E509">
            <w:pPr>
              <w:pStyle w:val="4"/>
              <w:keepNext w:val="0"/>
              <w:keepLines w:val="0"/>
              <w:widowControl/>
              <w:suppressLineNumbers w:val="0"/>
              <w:pBdr>
                <w:bottom w:val="none" w:color="auto" w:sz="0" w:space="0"/>
              </w:pBdr>
              <w:shd w:val="clear" w:fill="FFFFFF"/>
              <w:ind w:left="0" w:leftChars="0" w:firstLine="0" w:firstLineChars="0"/>
              <w:jc w:val="center"/>
              <w:rPr>
                <w:rFonts w:hint="eastAsia" w:ascii="Times New Roman" w:hAnsi="Times New Roman" w:eastAsia="宋体" w:cs="Times New Roman"/>
                <w:b w:val="0"/>
                <w:bCs/>
                <w:kern w:val="0"/>
                <w:sz w:val="21"/>
                <w:szCs w:val="21"/>
                <w:lang w:val="en-US" w:eastAsia="zh-CN" w:bidi="en-US"/>
              </w:rPr>
            </w:pPr>
            <w:r>
              <w:rPr>
                <w:rFonts w:hint="default" w:ascii="Times New Roman" w:hAnsi="Times New Roman" w:eastAsia="宋体" w:cs="Times New Roman"/>
                <w:b w:val="0"/>
                <w:bCs/>
                <w:kern w:val="0"/>
                <w:sz w:val="21"/>
                <w:szCs w:val="21"/>
                <w:lang w:val="en-US" w:eastAsia="en-US" w:bidi="en-US"/>
              </w:rPr>
              <w:t>食品</w:t>
            </w:r>
            <w:r>
              <w:rPr>
                <w:rFonts w:hint="eastAsia" w:ascii="Times New Roman" w:hAnsi="Times New Roman" w:eastAsia="宋体" w:cs="Times New Roman"/>
                <w:b w:val="0"/>
                <w:bCs/>
                <w:kern w:val="0"/>
                <w:sz w:val="21"/>
                <w:szCs w:val="21"/>
                <w:lang w:val="en-US" w:eastAsia="zh-CN" w:bidi="en-US"/>
              </w:rPr>
              <w:t>微生物</w:t>
            </w:r>
            <w:r>
              <w:rPr>
                <w:rFonts w:hint="default" w:ascii="Times New Roman" w:hAnsi="Times New Roman" w:eastAsia="宋体" w:cs="Times New Roman"/>
                <w:b w:val="0"/>
                <w:bCs/>
                <w:kern w:val="0"/>
                <w:sz w:val="21"/>
                <w:szCs w:val="21"/>
                <w:lang w:val="en-US" w:eastAsia="en-US" w:bidi="en-US"/>
              </w:rPr>
              <w:t>检测</w:t>
            </w:r>
            <w:r>
              <w:rPr>
                <w:rFonts w:hint="eastAsia" w:ascii="Times New Roman" w:hAnsi="Times New Roman" w:eastAsia="宋体" w:cs="Times New Roman"/>
                <w:b w:val="0"/>
                <w:bCs/>
                <w:kern w:val="0"/>
                <w:sz w:val="21"/>
                <w:szCs w:val="21"/>
                <w:lang w:val="en-US" w:eastAsia="zh-CN" w:bidi="en-US"/>
              </w:rPr>
              <w:t>员</w:t>
            </w:r>
          </w:p>
          <w:p w14:paraId="40545A1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imes New Roman" w:hAnsi="Times New Roman" w:eastAsia="宋体" w:cs="Times New Roman"/>
                <w:b w:val="0"/>
                <w:bCs/>
                <w:kern w:val="0"/>
                <w:sz w:val="21"/>
                <w:szCs w:val="21"/>
                <w:lang w:val="en-US" w:eastAsia="en-US" w:bidi="en-US"/>
              </w:rPr>
            </w:pPr>
          </w:p>
        </w:tc>
        <w:tc>
          <w:tcPr>
            <w:tcW w:w="1177" w:type="dxa"/>
            <w:shd w:val="clear" w:color="auto" w:fill="auto"/>
            <w:vAlign w:val="center"/>
          </w:tcPr>
          <w:p w14:paraId="6D9C59DA">
            <w:pPr>
              <w:pStyle w:val="53"/>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b w:val="0"/>
                <w:bCs/>
              </w:rPr>
              <w:t>4</w:t>
            </w:r>
            <w:r>
              <w:rPr>
                <w:rFonts w:hint="eastAsia"/>
                <w:b w:val="0"/>
                <w:bCs/>
                <w:lang w:eastAsia="zh-CN"/>
              </w:rPr>
              <w:t>(120)</w:t>
            </w:r>
          </w:p>
        </w:tc>
        <w:tc>
          <w:tcPr>
            <w:tcW w:w="5093" w:type="dxa"/>
            <w:shd w:val="clear" w:color="auto" w:fill="auto"/>
            <w:vAlign w:val="center"/>
          </w:tcPr>
          <w:p w14:paraId="45A08F29">
            <w:pPr>
              <w:pStyle w:val="53"/>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b w:val="0"/>
                <w:bCs/>
                <w:lang w:val="en-US" w:eastAsia="zh-CN"/>
              </w:rPr>
            </w:pPr>
            <w:r>
              <w:rPr>
                <w:rFonts w:hint="eastAsia"/>
                <w:b w:val="0"/>
                <w:bCs/>
                <w:lang w:val="en-US" w:eastAsia="zh-CN"/>
              </w:rPr>
              <w:t>执行食品微生物指标检测（如菌落总数、大肠菌群、致病菌等），严格遵循 GB 4789 系列标准，完成样品稀释、平板接种、培养观察及鉴定操作。</w:t>
            </w:r>
          </w:p>
          <w:p w14:paraId="0511CFBB">
            <w:pPr>
              <w:pStyle w:val="53"/>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b w:val="0"/>
                <w:bCs/>
                <w:lang w:val="en-US" w:eastAsia="zh-CN"/>
              </w:rPr>
            </w:pPr>
            <w:r>
              <w:rPr>
                <w:rFonts w:hint="default"/>
                <w:b w:val="0"/>
                <w:bCs/>
                <w:lang w:val="en-US" w:eastAsia="zh-CN"/>
              </w:rPr>
              <w:t>维护微生物实验室环境（如无菌操作台、培养箱等设备的清洁与灭菌），防止交叉污染。</w:t>
            </w:r>
          </w:p>
          <w:p w14:paraId="56223F3B">
            <w:pPr>
              <w:pStyle w:val="53"/>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b w:val="0"/>
                <w:bCs/>
                <w:lang w:val="en-US" w:eastAsia="zh-CN"/>
              </w:rPr>
            </w:pPr>
            <w:r>
              <w:rPr>
                <w:rFonts w:hint="default"/>
                <w:b w:val="0"/>
                <w:bCs/>
                <w:lang w:val="en-US" w:eastAsia="zh-CN"/>
              </w:rPr>
              <w:t>协助开展培养基配制、菌种保存及生物安全管理工作。</w:t>
            </w:r>
          </w:p>
        </w:tc>
      </w:tr>
      <w:tr w14:paraId="4F4E1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39F3329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053" w:type="dxa"/>
            <w:shd w:val="clear" w:color="auto" w:fill="auto"/>
            <w:vAlign w:val="center"/>
          </w:tcPr>
          <w:p w14:paraId="1A2BA18F">
            <w:pPr>
              <w:pStyle w:val="4"/>
              <w:keepNext w:val="0"/>
              <w:keepLines w:val="0"/>
              <w:widowControl/>
              <w:suppressLineNumbers w:val="0"/>
              <w:pBdr>
                <w:bottom w:val="none" w:color="auto" w:sz="0" w:space="0"/>
              </w:pBdr>
              <w:shd w:val="clear" w:fill="FFFFFF"/>
              <w:ind w:left="0" w:leftChars="0" w:firstLine="0" w:firstLineChars="0"/>
              <w:jc w:val="center"/>
              <w:rPr>
                <w:rFonts w:hint="default" w:ascii="Times New Roman" w:hAnsi="Times New Roman" w:eastAsia="宋体" w:cs="Times New Roman"/>
                <w:b w:val="0"/>
                <w:bCs/>
                <w:kern w:val="0"/>
                <w:sz w:val="21"/>
                <w:szCs w:val="21"/>
                <w:lang w:val="en-US" w:eastAsia="en-US" w:bidi="en-US"/>
              </w:rPr>
            </w:pPr>
            <w:r>
              <w:rPr>
                <w:rFonts w:hint="default" w:ascii="Times New Roman" w:hAnsi="Times New Roman" w:eastAsia="宋体" w:cs="Times New Roman"/>
                <w:b w:val="0"/>
                <w:bCs/>
                <w:kern w:val="0"/>
                <w:sz w:val="21"/>
                <w:szCs w:val="21"/>
                <w:lang w:val="en-US" w:eastAsia="en-US" w:bidi="en-US"/>
              </w:rPr>
              <w:t>食品质量控制（QC）</w:t>
            </w:r>
          </w:p>
          <w:p w14:paraId="376B940F">
            <w:pPr>
              <w:pStyle w:val="4"/>
              <w:keepNext w:val="0"/>
              <w:keepLines w:val="0"/>
              <w:widowControl/>
              <w:suppressLineNumbers w:val="0"/>
              <w:pBdr>
                <w:bottom w:val="none" w:color="auto" w:sz="0" w:space="0"/>
              </w:pBdr>
              <w:shd w:val="clear" w:fill="FFFFFF"/>
              <w:ind w:left="0" w:leftChars="0" w:firstLine="0" w:firstLineChars="0"/>
              <w:jc w:val="center"/>
              <w:rPr>
                <w:rFonts w:hint="eastAsia" w:ascii="Times New Roman" w:hAnsi="Times New Roman" w:eastAsia="宋体" w:cs="Times New Roman"/>
                <w:b w:val="0"/>
                <w:bCs/>
                <w:kern w:val="0"/>
                <w:sz w:val="21"/>
                <w:szCs w:val="21"/>
                <w:lang w:val="en-US" w:eastAsia="en-US" w:bidi="en-US"/>
              </w:rPr>
            </w:pPr>
          </w:p>
        </w:tc>
        <w:tc>
          <w:tcPr>
            <w:tcW w:w="1177" w:type="dxa"/>
            <w:shd w:val="clear" w:color="auto" w:fill="auto"/>
            <w:vAlign w:val="center"/>
          </w:tcPr>
          <w:p w14:paraId="12C47722">
            <w:pPr>
              <w:pStyle w:val="53"/>
              <w:ind w:firstLine="0" w:firstLineChars="0"/>
              <w:rPr>
                <w:rFonts w:hint="eastAsia" w:asciiTheme="minorEastAsia" w:hAnsiTheme="minorEastAsia" w:eastAsiaTheme="minorEastAsia" w:cstheme="minorEastAsia"/>
                <w:b w:val="0"/>
                <w:bCs/>
                <w:kern w:val="0"/>
                <w:sz w:val="21"/>
                <w:szCs w:val="21"/>
                <w:lang w:val="en-US" w:eastAsia="en-US" w:bidi="en-US"/>
              </w:rPr>
            </w:pPr>
            <w:r>
              <w:rPr>
                <w:rFonts w:hint="eastAsia"/>
                <w:b w:val="0"/>
                <w:bCs/>
              </w:rPr>
              <w:t>4</w:t>
            </w:r>
            <w:r>
              <w:rPr>
                <w:rFonts w:hint="eastAsia"/>
                <w:b w:val="0"/>
                <w:bCs/>
                <w:lang w:eastAsia="zh-CN"/>
              </w:rPr>
              <w:t>(120)</w:t>
            </w:r>
          </w:p>
        </w:tc>
        <w:tc>
          <w:tcPr>
            <w:tcW w:w="5093" w:type="dxa"/>
            <w:shd w:val="clear" w:color="auto" w:fill="auto"/>
            <w:vAlign w:val="center"/>
          </w:tcPr>
          <w:p w14:paraId="4D001236">
            <w:pPr>
              <w:pStyle w:val="53"/>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b w:val="0"/>
                <w:bCs/>
                <w:lang w:val="en-US" w:eastAsia="zh-CN"/>
              </w:rPr>
            </w:pPr>
            <w:r>
              <w:rPr>
                <w:rFonts w:hint="eastAsia"/>
                <w:b w:val="0"/>
                <w:bCs/>
                <w:lang w:val="en-US" w:eastAsia="zh-CN"/>
              </w:rPr>
              <w:t>参与食品生产过程的质量监控，对原料、半成品、成品进行抽样检验，核查感官、理化、微生物等指标是否符合标准。</w:t>
            </w:r>
          </w:p>
          <w:p w14:paraId="3D2352E1">
            <w:pPr>
              <w:pStyle w:val="53"/>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b w:val="0"/>
                <w:bCs/>
                <w:lang w:val="en-US" w:eastAsia="zh-CN"/>
              </w:rPr>
            </w:pPr>
            <w:r>
              <w:rPr>
                <w:rFonts w:hint="default"/>
                <w:b w:val="0"/>
                <w:bCs/>
                <w:lang w:val="en-US" w:eastAsia="zh-CN"/>
              </w:rPr>
              <w:t>协助制定检验计划，跟踪不合格品的处理流程，提出改进建议（如优化生产工艺、加强原料验收）。</w:t>
            </w:r>
          </w:p>
          <w:p w14:paraId="3A62C1DF">
            <w:pPr>
              <w:pStyle w:val="53"/>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sz w:val="21"/>
                <w:szCs w:val="21"/>
                <w:lang w:val="en-US"/>
              </w:rPr>
            </w:pPr>
            <w:r>
              <w:rPr>
                <w:rFonts w:hint="default"/>
                <w:b w:val="0"/>
                <w:bCs/>
                <w:lang w:val="en-US" w:eastAsia="zh-CN"/>
              </w:rPr>
              <w:t>整理质量记录，参与质量体系文件（如 SOP、检验规程）的修订与完善。</w:t>
            </w:r>
          </w:p>
        </w:tc>
      </w:tr>
      <w:tr w14:paraId="4B2B7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tcBorders>
              <w:top w:val="nil"/>
            </w:tcBorders>
            <w:shd w:val="clear" w:color="auto" w:fill="auto"/>
            <w:vAlign w:val="center"/>
          </w:tcPr>
          <w:p w14:paraId="1C0190F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053" w:type="dxa"/>
            <w:shd w:val="clear" w:color="auto" w:fill="auto"/>
            <w:vAlign w:val="center"/>
          </w:tcPr>
          <w:p w14:paraId="33D3BF77">
            <w:pPr>
              <w:pStyle w:val="4"/>
              <w:keepNext w:val="0"/>
              <w:keepLines w:val="0"/>
              <w:widowControl/>
              <w:suppressLineNumbers w:val="0"/>
              <w:pBdr>
                <w:bottom w:val="none" w:color="auto" w:sz="0" w:space="0"/>
              </w:pBdr>
              <w:shd w:val="clear" w:fill="FFFFFF"/>
              <w:ind w:left="0" w:leftChars="0" w:firstLine="0" w:firstLineChars="0"/>
              <w:jc w:val="center"/>
              <w:rPr>
                <w:rFonts w:hint="default" w:ascii="Times New Roman" w:hAnsi="Times New Roman" w:eastAsia="宋体" w:cs="Times New Roman"/>
                <w:b w:val="0"/>
                <w:bCs/>
                <w:kern w:val="0"/>
                <w:sz w:val="21"/>
                <w:szCs w:val="21"/>
                <w:lang w:val="en-US" w:eastAsia="en-US" w:bidi="en-US"/>
              </w:rPr>
            </w:pPr>
            <w:r>
              <w:rPr>
                <w:rFonts w:hint="default" w:ascii="Times New Roman" w:hAnsi="Times New Roman" w:eastAsia="宋体" w:cs="Times New Roman"/>
                <w:b w:val="0"/>
                <w:bCs/>
                <w:kern w:val="0"/>
                <w:sz w:val="21"/>
                <w:szCs w:val="21"/>
                <w:lang w:val="en-US" w:eastAsia="en-US" w:bidi="en-US"/>
              </w:rPr>
              <w:t>食品采样与现场检测</w:t>
            </w:r>
          </w:p>
          <w:p w14:paraId="7EEF98E1">
            <w:pPr>
              <w:pStyle w:val="4"/>
              <w:keepNext w:val="0"/>
              <w:keepLines w:val="0"/>
              <w:widowControl/>
              <w:suppressLineNumbers w:val="0"/>
              <w:pBdr>
                <w:bottom w:val="none" w:color="auto" w:sz="0" w:space="0"/>
              </w:pBdr>
              <w:shd w:val="clear" w:fill="FFFFFF"/>
              <w:ind w:left="0" w:leftChars="0" w:firstLine="0" w:firstLineChars="0"/>
              <w:jc w:val="center"/>
              <w:rPr>
                <w:rFonts w:hint="eastAsia" w:ascii="Times New Roman" w:hAnsi="Times New Roman" w:eastAsia="宋体" w:cs="Times New Roman"/>
                <w:b w:val="0"/>
                <w:bCs/>
                <w:kern w:val="0"/>
                <w:sz w:val="21"/>
                <w:szCs w:val="21"/>
                <w:lang w:val="en-US" w:eastAsia="en-US" w:bidi="en-US"/>
              </w:rPr>
            </w:pPr>
          </w:p>
        </w:tc>
        <w:tc>
          <w:tcPr>
            <w:tcW w:w="1177" w:type="dxa"/>
            <w:shd w:val="clear" w:color="auto" w:fill="auto"/>
            <w:vAlign w:val="center"/>
          </w:tcPr>
          <w:p w14:paraId="109A1EFD">
            <w:pPr>
              <w:pStyle w:val="55"/>
              <w:ind w:firstLine="0" w:firstLineChars="0"/>
              <w:jc w:val="center"/>
              <w:rPr>
                <w:rFonts w:hint="eastAsia" w:asciiTheme="minorEastAsia" w:hAnsiTheme="minorEastAsia" w:eastAsiaTheme="minorEastAsia" w:cstheme="minorEastAsia"/>
                <w:bCs/>
                <w:kern w:val="0"/>
                <w:sz w:val="21"/>
                <w:szCs w:val="21"/>
                <w:lang w:val="en-US" w:eastAsia="en-US" w:bidi="en-US"/>
              </w:rPr>
            </w:pPr>
            <w:r>
              <w:rPr>
                <w:rFonts w:hint="eastAsia" w:ascii="宋体" w:hAnsi="宋体" w:cs="宋体"/>
                <w:szCs w:val="21"/>
              </w:rPr>
              <w:t>4</w:t>
            </w:r>
            <w:r>
              <w:rPr>
                <w:rFonts w:hint="eastAsia"/>
                <w:bCs/>
              </w:rPr>
              <w:t>(120)</w:t>
            </w:r>
          </w:p>
        </w:tc>
        <w:tc>
          <w:tcPr>
            <w:tcW w:w="5093" w:type="dxa"/>
            <w:shd w:val="clear" w:color="auto" w:fill="auto"/>
            <w:vAlign w:val="center"/>
          </w:tcPr>
          <w:p w14:paraId="1D4FDB26">
            <w:pPr>
              <w:pStyle w:val="53"/>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b w:val="0"/>
                <w:bCs/>
                <w:lang w:val="en-US" w:eastAsia="zh-CN"/>
              </w:rPr>
            </w:pPr>
            <w:r>
              <w:rPr>
                <w:rFonts w:hint="eastAsia"/>
                <w:b w:val="0"/>
                <w:bCs/>
                <w:lang w:val="en-US" w:eastAsia="zh-CN"/>
              </w:rPr>
              <w:t>负责食品样品的现场采集（如农贸市场、超市、生产车间），遵循随机抽样原则，确保样品的代表性和可追溯性。</w:t>
            </w:r>
          </w:p>
          <w:p w14:paraId="0D173BDE">
            <w:pPr>
              <w:pStyle w:val="53"/>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b w:val="0"/>
                <w:bCs/>
                <w:lang w:val="en-US" w:eastAsia="zh-CN"/>
              </w:rPr>
            </w:pPr>
            <w:r>
              <w:rPr>
                <w:rFonts w:hint="default"/>
                <w:b w:val="0"/>
                <w:bCs/>
                <w:lang w:val="en-US" w:eastAsia="zh-CN"/>
              </w:rPr>
              <w:t>使用快速检测设备（如农残速测仪、胶体金试纸条）对食品中的农药残留、兽药残留、非法添加剂等进行现场初筛。</w:t>
            </w:r>
          </w:p>
          <w:p w14:paraId="31212619">
            <w:pPr>
              <w:pStyle w:val="53"/>
              <w:keepNext w:val="0"/>
              <w:keepLines w:val="0"/>
              <w:pageBreakBefore w:val="0"/>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sz w:val="21"/>
                <w:szCs w:val="21"/>
                <w:lang w:val="en-US"/>
              </w:rPr>
            </w:pPr>
            <w:r>
              <w:rPr>
                <w:rFonts w:hint="default"/>
                <w:b w:val="0"/>
                <w:bCs/>
                <w:lang w:val="en-US" w:eastAsia="zh-CN"/>
              </w:rPr>
              <w:t>记录采样信息和现场检测结果，及时反馈可疑样品并协助送实验室进一步检测。</w:t>
            </w:r>
          </w:p>
        </w:tc>
      </w:tr>
      <w:tr w14:paraId="3D19B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257" w:type="dxa"/>
            <w:shd w:val="clear" w:color="auto" w:fill="auto"/>
            <w:vAlign w:val="center"/>
          </w:tcPr>
          <w:p w14:paraId="4C778E1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教师要求</w:t>
            </w:r>
          </w:p>
        </w:tc>
        <w:tc>
          <w:tcPr>
            <w:tcW w:w="7323" w:type="dxa"/>
            <w:gridSpan w:val="3"/>
            <w:shd w:val="clear" w:color="auto" w:fill="auto"/>
            <w:vAlign w:val="center"/>
          </w:tcPr>
          <w:p w14:paraId="3DC938E7">
            <w:pPr>
              <w:pStyle w:val="55"/>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应全程关注学生的实习过程，及时了解学生的实习情况，为学生提供必要的支持和帮助。应与学生保持定期沟通，了解学生在实习过程中的困惑、需求和进步，为学生提供针对性的指导和建议。应与实习单位保持良好的合作关系，协助解决学生在实习过程中遇到的问题，确保实习顺利进行。应密切关注学生在实习期间的人身安全和心理健康，为学生提供必要的支持和帮助。实习结束后，应关注学生的职业发展，为学生提供进一步的指导和资源支持。</w:t>
            </w:r>
          </w:p>
        </w:tc>
      </w:tr>
      <w:tr w14:paraId="3EC09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257" w:type="dxa"/>
            <w:shd w:val="clear" w:color="auto" w:fill="auto"/>
            <w:vAlign w:val="center"/>
          </w:tcPr>
          <w:p w14:paraId="4EF4C35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学生要求</w:t>
            </w:r>
          </w:p>
        </w:tc>
        <w:tc>
          <w:tcPr>
            <w:tcW w:w="7323" w:type="dxa"/>
            <w:gridSpan w:val="3"/>
            <w:shd w:val="clear" w:color="auto" w:fill="auto"/>
            <w:vAlign w:val="center"/>
          </w:tcPr>
          <w:p w14:paraId="08DF3F4F">
            <w:pPr>
              <w:pStyle w:val="55"/>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严格遵守实习单位及学校规章制度，如考勤制度、安全生产规定等确保实习期间的安全和稳定。应积极参与实习岗位的工作认真完成分配的任务，主动学习新知识和新技能提高自己的工作能力。应注重团队协作，与同事共同完成任务，发挥团队的整体优势。应定期向实习导师或学校汇报实习情况，总结经验教训，提出改进建议，以便及时调整实习计划。在实习过程中，应尊重实习单位的隐私和商业机密，不泄露敏感信息。实习结束后，应按照要求完成实习报告，总结实习经历、收获和体会，为今后的职业发展提供参考。</w:t>
            </w:r>
          </w:p>
        </w:tc>
      </w:tr>
      <w:tr w14:paraId="367BF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57" w:type="dxa"/>
            <w:shd w:val="clear" w:color="auto" w:fill="auto"/>
            <w:vAlign w:val="center"/>
          </w:tcPr>
          <w:p w14:paraId="7558942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实习考核</w:t>
            </w:r>
          </w:p>
        </w:tc>
        <w:tc>
          <w:tcPr>
            <w:tcW w:w="7323" w:type="dxa"/>
            <w:gridSpan w:val="3"/>
            <w:shd w:val="clear" w:color="auto" w:fill="auto"/>
            <w:vAlign w:val="center"/>
          </w:tcPr>
          <w:p w14:paraId="1CDEBE15">
            <w:pPr>
              <w:pStyle w:val="55"/>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学生每天参与线上打开，每月提交出勤考核表；每周在线提交实习报告；实习结束提交实习综合报告，并进行综合答辩。</w:t>
            </w:r>
          </w:p>
        </w:tc>
      </w:tr>
    </w:tbl>
    <w:p w14:paraId="43797E8F">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78" w:name="_Toc7315"/>
      <w:bookmarkStart w:id="79" w:name="_Toc24801"/>
      <w:r>
        <w:rPr>
          <w:rFonts w:hint="eastAsia" w:asciiTheme="majorEastAsia" w:hAnsiTheme="majorEastAsia" w:eastAsiaTheme="majorEastAsia" w:cstheme="majorEastAsia"/>
          <w:b/>
          <w:bCs/>
          <w:sz w:val="30"/>
          <w:szCs w:val="30"/>
          <w:lang w:val="en-US" w:eastAsia="zh-CN"/>
        </w:rPr>
        <w:t>十、实施保障</w:t>
      </w:r>
      <w:bookmarkEnd w:id="78"/>
      <w:bookmarkEnd w:id="79"/>
    </w:p>
    <w:p w14:paraId="66572021">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80" w:name="_Toc24302"/>
      <w:bookmarkStart w:id="81" w:name="_Toc4827"/>
      <w:r>
        <w:rPr>
          <w:rFonts w:hint="eastAsia" w:asciiTheme="minorEastAsia" w:hAnsiTheme="minorEastAsia" w:eastAsiaTheme="minorEastAsia" w:cstheme="minorEastAsia"/>
          <w:sz w:val="28"/>
          <w:szCs w:val="28"/>
          <w:lang w:val="en-US" w:eastAsia="zh-CN"/>
        </w:rPr>
        <w:t>（一）师资队伍</w:t>
      </w:r>
      <w:bookmarkEnd w:id="80"/>
      <w:bookmarkEnd w:id="81"/>
    </w:p>
    <w:p w14:paraId="284EED5E">
      <w:pPr>
        <w:pageBreakBefore w:val="0"/>
        <w:kinsoku/>
        <w:wordWrap/>
        <w:overflowPunct/>
        <w:topLinePunct w:val="0"/>
        <w:autoSpaceDE/>
        <w:autoSpaceDN/>
        <w:bidi w:val="0"/>
        <w:spacing w:line="360" w:lineRule="auto"/>
        <w:ind w:left="0" w:right="0" w:rightChars="0"/>
        <w:rPr>
          <w:rFonts w:hint="eastAsia"/>
          <w:sz w:val="24"/>
          <w:szCs w:val="22"/>
        </w:rPr>
      </w:pPr>
      <w:bookmarkStart w:id="82" w:name="_Toc14886"/>
      <w:r>
        <w:rPr>
          <w:rFonts w:hint="eastAsia"/>
          <w:sz w:val="24"/>
          <w:szCs w:val="22"/>
        </w:rPr>
        <w:t>专任教师</w:t>
      </w:r>
      <w:r>
        <w:rPr>
          <w:rFonts w:hint="eastAsia"/>
          <w:sz w:val="24"/>
          <w:szCs w:val="22"/>
          <w:lang w:val="en-US" w:eastAsia="zh-CN"/>
        </w:rPr>
        <w:t>占比75%</w:t>
      </w:r>
      <w:r>
        <w:rPr>
          <w:rFonts w:hint="eastAsia"/>
          <w:sz w:val="24"/>
          <w:szCs w:val="22"/>
        </w:rPr>
        <w:t>。</w:t>
      </w:r>
      <w:bookmarkEnd w:id="82"/>
    </w:p>
    <w:p w14:paraId="041D663E">
      <w:pPr>
        <w:pageBreakBefore w:val="0"/>
        <w:kinsoku/>
        <w:wordWrap/>
        <w:overflowPunct/>
        <w:topLinePunct w:val="0"/>
        <w:autoSpaceDE/>
        <w:autoSpaceDN/>
        <w:bidi w:val="0"/>
        <w:spacing w:line="360" w:lineRule="auto"/>
        <w:ind w:left="0" w:right="0" w:rightChars="0"/>
        <w:rPr>
          <w:rFonts w:hint="eastAsia"/>
          <w:sz w:val="24"/>
          <w:szCs w:val="22"/>
        </w:rPr>
      </w:pPr>
      <w:bookmarkStart w:id="83" w:name="_Toc24224"/>
      <w:r>
        <w:rPr>
          <w:rFonts w:hint="eastAsia"/>
          <w:sz w:val="24"/>
          <w:szCs w:val="22"/>
        </w:rPr>
        <w:t>兼职教师</w:t>
      </w:r>
      <w:r>
        <w:rPr>
          <w:rFonts w:hint="eastAsia"/>
          <w:sz w:val="24"/>
          <w:szCs w:val="22"/>
          <w:lang w:val="en-US" w:eastAsia="zh-CN"/>
        </w:rPr>
        <w:t>占比25%</w:t>
      </w:r>
      <w:r>
        <w:rPr>
          <w:rFonts w:hint="eastAsia"/>
          <w:sz w:val="24"/>
          <w:szCs w:val="22"/>
        </w:rPr>
        <w:t>。</w:t>
      </w:r>
      <w:bookmarkEnd w:id="83"/>
    </w:p>
    <w:p w14:paraId="12560333">
      <w:pPr>
        <w:pageBreakBefore w:val="0"/>
        <w:kinsoku/>
        <w:wordWrap/>
        <w:overflowPunct/>
        <w:topLinePunct w:val="0"/>
        <w:autoSpaceDE/>
        <w:autoSpaceDN/>
        <w:bidi w:val="0"/>
        <w:spacing w:line="360" w:lineRule="auto"/>
        <w:ind w:left="0" w:right="0" w:rightChars="0" w:firstLine="442" w:firstLineChars="200"/>
        <w:jc w:val="center"/>
        <w:outlineLvl w:val="2"/>
        <w:rPr>
          <w:rFonts w:hint="default" w:ascii="宋体" w:hAnsi="宋体" w:cs="宋体"/>
          <w:b/>
          <w:sz w:val="22"/>
          <w:szCs w:val="18"/>
          <w:lang w:val="en-US" w:eastAsia="zh-CN"/>
        </w:rPr>
      </w:pPr>
      <w:r>
        <w:rPr>
          <w:rFonts w:hint="eastAsia" w:ascii="宋体" w:hAnsi="宋体" w:cs="宋体"/>
          <w:b/>
          <w:sz w:val="22"/>
          <w:szCs w:val="18"/>
          <w:lang w:val="en-US" w:eastAsia="zh-CN"/>
        </w:rPr>
        <w:t>表10-1 xxx专业专任/兼职教师</w:t>
      </w:r>
    </w:p>
    <w:tbl>
      <w:tblPr>
        <w:tblStyle w:val="27"/>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611"/>
        <w:gridCol w:w="932"/>
        <w:gridCol w:w="1419"/>
        <w:gridCol w:w="1208"/>
        <w:gridCol w:w="3546"/>
        <w:gridCol w:w="647"/>
      </w:tblGrid>
      <w:tr w14:paraId="085C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14" w:type="dxa"/>
            <w:shd w:val="clear" w:color="auto" w:fill="B8CCE4" w:themeFill="accent1" w:themeFillTint="66"/>
            <w:noWrap w:val="0"/>
            <w:vAlign w:val="center"/>
          </w:tcPr>
          <w:p w14:paraId="51E43166">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84" w:name="_Toc3179"/>
            <w:bookmarkStart w:id="85" w:name="_Toc26531"/>
            <w:bookmarkStart w:id="86" w:name="_Toc9355"/>
            <w:r>
              <w:rPr>
                <w:rFonts w:hint="eastAsia"/>
                <w:lang w:val="en-US" w:eastAsia="zh-CN"/>
              </w:rPr>
              <w:t>姓名</w:t>
            </w:r>
            <w:bookmarkEnd w:id="84"/>
            <w:bookmarkEnd w:id="85"/>
            <w:bookmarkEnd w:id="86"/>
          </w:p>
        </w:tc>
        <w:tc>
          <w:tcPr>
            <w:tcW w:w="611" w:type="dxa"/>
            <w:shd w:val="clear" w:color="auto" w:fill="B8CCE4" w:themeFill="accent1" w:themeFillTint="66"/>
            <w:noWrap w:val="0"/>
            <w:vAlign w:val="center"/>
          </w:tcPr>
          <w:p w14:paraId="2F56C499">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87" w:name="_Toc30"/>
            <w:bookmarkStart w:id="88" w:name="_Toc16986"/>
            <w:bookmarkStart w:id="89" w:name="_Toc4272"/>
            <w:r>
              <w:rPr>
                <w:rFonts w:hint="eastAsia"/>
                <w:lang w:val="en-US" w:eastAsia="zh-CN"/>
              </w:rPr>
              <w:t>性别</w:t>
            </w:r>
            <w:bookmarkEnd w:id="87"/>
            <w:bookmarkEnd w:id="88"/>
            <w:bookmarkEnd w:id="89"/>
          </w:p>
        </w:tc>
        <w:tc>
          <w:tcPr>
            <w:tcW w:w="932" w:type="dxa"/>
            <w:shd w:val="clear" w:color="auto" w:fill="B8CCE4" w:themeFill="accent1" w:themeFillTint="66"/>
            <w:noWrap w:val="0"/>
            <w:vAlign w:val="center"/>
          </w:tcPr>
          <w:p w14:paraId="236837E6">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90" w:name="_Toc16983"/>
            <w:bookmarkStart w:id="91" w:name="_Toc26157"/>
            <w:bookmarkStart w:id="92" w:name="_Toc22417"/>
            <w:r>
              <w:rPr>
                <w:rFonts w:hint="eastAsia"/>
                <w:lang w:val="en-US" w:eastAsia="zh-CN"/>
              </w:rPr>
              <w:t>出生年月</w:t>
            </w:r>
            <w:bookmarkEnd w:id="90"/>
            <w:bookmarkEnd w:id="91"/>
            <w:bookmarkEnd w:id="92"/>
          </w:p>
        </w:tc>
        <w:tc>
          <w:tcPr>
            <w:tcW w:w="1419" w:type="dxa"/>
            <w:shd w:val="clear" w:color="auto" w:fill="B8CCE4" w:themeFill="accent1" w:themeFillTint="66"/>
            <w:noWrap w:val="0"/>
            <w:vAlign w:val="center"/>
          </w:tcPr>
          <w:p w14:paraId="30A2E89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93" w:name="_Toc7673"/>
            <w:bookmarkStart w:id="94" w:name="_Toc625"/>
            <w:bookmarkStart w:id="95" w:name="_Toc29795"/>
            <w:r>
              <w:rPr>
                <w:rFonts w:hint="eastAsia"/>
                <w:lang w:val="en-US" w:eastAsia="zh-CN"/>
              </w:rPr>
              <w:t>职称</w:t>
            </w:r>
            <w:bookmarkEnd w:id="93"/>
            <w:bookmarkEnd w:id="94"/>
            <w:bookmarkEnd w:id="95"/>
          </w:p>
        </w:tc>
        <w:tc>
          <w:tcPr>
            <w:tcW w:w="1208" w:type="dxa"/>
            <w:shd w:val="clear" w:color="auto" w:fill="B8CCE4" w:themeFill="accent1" w:themeFillTint="66"/>
            <w:noWrap w:val="0"/>
            <w:vAlign w:val="center"/>
          </w:tcPr>
          <w:p w14:paraId="7B4565F5">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96" w:name="_Toc20317"/>
            <w:bookmarkStart w:id="97" w:name="_Toc3904"/>
            <w:bookmarkStart w:id="98" w:name="_Toc20897"/>
            <w:r>
              <w:rPr>
                <w:rFonts w:hint="eastAsia"/>
                <w:lang w:val="en-US" w:eastAsia="zh-CN"/>
              </w:rPr>
              <w:t>教师性质</w:t>
            </w:r>
            <w:bookmarkEnd w:id="96"/>
            <w:bookmarkEnd w:id="97"/>
            <w:bookmarkEnd w:id="98"/>
          </w:p>
        </w:tc>
        <w:tc>
          <w:tcPr>
            <w:tcW w:w="3546" w:type="dxa"/>
            <w:shd w:val="clear" w:color="auto" w:fill="B8CCE4" w:themeFill="accent1" w:themeFillTint="66"/>
            <w:noWrap w:val="0"/>
            <w:vAlign w:val="center"/>
          </w:tcPr>
          <w:p w14:paraId="1E442168">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99" w:name="_Toc6474"/>
            <w:bookmarkStart w:id="100" w:name="_Toc27929"/>
            <w:bookmarkStart w:id="101" w:name="_Toc1667"/>
            <w:r>
              <w:rPr>
                <w:rFonts w:hint="eastAsia"/>
                <w:lang w:val="en-US" w:eastAsia="zh-CN"/>
              </w:rPr>
              <w:t>承担课程</w:t>
            </w:r>
            <w:bookmarkEnd w:id="99"/>
            <w:bookmarkEnd w:id="100"/>
            <w:bookmarkEnd w:id="101"/>
          </w:p>
        </w:tc>
        <w:tc>
          <w:tcPr>
            <w:tcW w:w="647" w:type="dxa"/>
            <w:shd w:val="clear" w:color="auto" w:fill="B8CCE4" w:themeFill="accent1" w:themeFillTint="66"/>
            <w:noWrap w:val="0"/>
            <w:vAlign w:val="center"/>
          </w:tcPr>
          <w:p w14:paraId="1BBF00DC">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lang w:val="en-US" w:eastAsia="zh-CN"/>
              </w:rPr>
            </w:pPr>
            <w:bookmarkStart w:id="102" w:name="_Toc7527"/>
            <w:bookmarkStart w:id="103" w:name="_Toc2931"/>
            <w:bookmarkStart w:id="104" w:name="_Toc19897"/>
            <w:r>
              <w:rPr>
                <w:rFonts w:hint="eastAsia"/>
                <w:lang w:val="en-US" w:eastAsia="zh-CN"/>
              </w:rPr>
              <w:t>是否双师</w:t>
            </w:r>
            <w:bookmarkEnd w:id="102"/>
            <w:bookmarkEnd w:id="103"/>
            <w:bookmarkEnd w:id="104"/>
          </w:p>
        </w:tc>
      </w:tr>
      <w:tr w14:paraId="4B46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4" w:type="dxa"/>
            <w:shd w:val="clear" w:color="auto" w:fill="auto"/>
            <w:noWrap w:val="0"/>
            <w:vAlign w:val="center"/>
          </w:tcPr>
          <w:p w14:paraId="60F206FD">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刘雪峰</w:t>
            </w:r>
          </w:p>
        </w:tc>
        <w:tc>
          <w:tcPr>
            <w:tcW w:w="611" w:type="dxa"/>
            <w:shd w:val="clear" w:color="auto" w:fill="auto"/>
            <w:noWrap w:val="0"/>
            <w:vAlign w:val="center"/>
          </w:tcPr>
          <w:p w14:paraId="33097DE4">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男</w:t>
            </w:r>
          </w:p>
        </w:tc>
        <w:tc>
          <w:tcPr>
            <w:tcW w:w="932" w:type="dxa"/>
            <w:shd w:val="clear" w:color="auto" w:fill="auto"/>
            <w:noWrap w:val="0"/>
            <w:vAlign w:val="center"/>
          </w:tcPr>
          <w:p w14:paraId="27143733">
            <w:pPr>
              <w:pStyle w:val="53"/>
              <w:spacing w:before="0" w:after="0" w:line="360" w:lineRule="exact"/>
              <w:ind w:firstLine="0" w:firstLineChars="0"/>
              <w:rPr>
                <w:rFonts w:hint="default"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1968.1</w:t>
            </w:r>
          </w:p>
        </w:tc>
        <w:tc>
          <w:tcPr>
            <w:tcW w:w="1419" w:type="dxa"/>
            <w:shd w:val="clear" w:color="auto" w:fill="auto"/>
            <w:noWrap w:val="0"/>
            <w:vAlign w:val="center"/>
          </w:tcPr>
          <w:p w14:paraId="32565813">
            <w:pPr>
              <w:pStyle w:val="53"/>
              <w:spacing w:before="0" w:after="0" w:line="360" w:lineRule="exact"/>
              <w:ind w:firstLine="0" w:firstLineChars="0"/>
              <w:rPr>
                <w:rFonts w:hint="default" w:ascii="Times New Roman" w:hAnsi="Times New Roman" w:eastAsia="宋体" w:cs="Times New Roman"/>
                <w:b w:val="0"/>
                <w:bCs/>
                <w:kern w:val="0"/>
                <w:sz w:val="21"/>
                <w:szCs w:val="21"/>
                <w:lang w:val="en-US" w:eastAsia="zh-CN" w:bidi="en-US"/>
              </w:rPr>
            </w:pPr>
            <w:r>
              <w:rPr>
                <w:rFonts w:hint="eastAsia"/>
                <w:b w:val="0"/>
                <w:bCs/>
                <w:lang w:eastAsia="zh-CN"/>
              </w:rPr>
              <w:t>教授</w:t>
            </w:r>
          </w:p>
        </w:tc>
        <w:tc>
          <w:tcPr>
            <w:tcW w:w="1208" w:type="dxa"/>
            <w:shd w:val="clear" w:color="auto" w:fill="auto"/>
            <w:noWrap w:val="0"/>
            <w:vAlign w:val="center"/>
          </w:tcPr>
          <w:p w14:paraId="6353BAE5">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专任</w:t>
            </w:r>
          </w:p>
        </w:tc>
        <w:tc>
          <w:tcPr>
            <w:tcW w:w="3546" w:type="dxa"/>
            <w:shd w:val="clear" w:color="auto" w:fill="auto"/>
            <w:noWrap w:val="0"/>
            <w:vAlign w:val="center"/>
          </w:tcPr>
          <w:p w14:paraId="342434B1">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食品标准与法规</w:t>
            </w:r>
          </w:p>
        </w:tc>
        <w:tc>
          <w:tcPr>
            <w:tcW w:w="647" w:type="dxa"/>
            <w:shd w:val="clear" w:color="auto" w:fill="auto"/>
            <w:noWrap w:val="0"/>
            <w:vAlign w:val="center"/>
          </w:tcPr>
          <w:p w14:paraId="48EE8B72">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是</w:t>
            </w:r>
          </w:p>
        </w:tc>
      </w:tr>
      <w:tr w14:paraId="68D9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4" w:type="dxa"/>
            <w:shd w:val="clear" w:color="auto" w:fill="auto"/>
            <w:noWrap w:val="0"/>
            <w:vAlign w:val="center"/>
          </w:tcPr>
          <w:p w14:paraId="73EF7079">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李荣</w:t>
            </w:r>
          </w:p>
        </w:tc>
        <w:tc>
          <w:tcPr>
            <w:tcW w:w="611" w:type="dxa"/>
            <w:shd w:val="clear" w:color="auto" w:fill="auto"/>
            <w:noWrap w:val="0"/>
            <w:vAlign w:val="center"/>
          </w:tcPr>
          <w:p w14:paraId="62870C1A">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女</w:t>
            </w:r>
          </w:p>
        </w:tc>
        <w:tc>
          <w:tcPr>
            <w:tcW w:w="932" w:type="dxa"/>
            <w:shd w:val="clear" w:color="auto" w:fill="auto"/>
            <w:noWrap w:val="0"/>
            <w:vAlign w:val="center"/>
          </w:tcPr>
          <w:p w14:paraId="5425CD6B">
            <w:pPr>
              <w:pStyle w:val="53"/>
              <w:spacing w:before="0" w:after="0" w:line="360" w:lineRule="exact"/>
              <w:ind w:firstLine="0" w:firstLineChars="0"/>
              <w:rPr>
                <w:rFonts w:hint="default"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1980.2</w:t>
            </w:r>
          </w:p>
        </w:tc>
        <w:tc>
          <w:tcPr>
            <w:tcW w:w="1419" w:type="dxa"/>
            <w:shd w:val="clear" w:color="auto" w:fill="auto"/>
            <w:noWrap w:val="0"/>
            <w:vAlign w:val="center"/>
          </w:tcPr>
          <w:p w14:paraId="31CAE97A">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副教授</w:t>
            </w:r>
          </w:p>
        </w:tc>
        <w:tc>
          <w:tcPr>
            <w:tcW w:w="1208" w:type="dxa"/>
            <w:shd w:val="clear" w:color="auto" w:fill="auto"/>
            <w:noWrap w:val="0"/>
            <w:vAlign w:val="center"/>
          </w:tcPr>
          <w:p w14:paraId="439A1548">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专任</w:t>
            </w:r>
          </w:p>
        </w:tc>
        <w:tc>
          <w:tcPr>
            <w:tcW w:w="3546" w:type="dxa"/>
            <w:shd w:val="clear" w:color="auto" w:fill="auto"/>
            <w:noWrap w:val="0"/>
            <w:vAlign w:val="center"/>
          </w:tcPr>
          <w:p w14:paraId="12F72B32">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食品微生物基础</w:t>
            </w:r>
          </w:p>
        </w:tc>
        <w:tc>
          <w:tcPr>
            <w:tcW w:w="647" w:type="dxa"/>
            <w:shd w:val="clear" w:color="auto" w:fill="auto"/>
            <w:noWrap w:val="0"/>
            <w:vAlign w:val="center"/>
          </w:tcPr>
          <w:p w14:paraId="489DB0AB">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是</w:t>
            </w:r>
          </w:p>
        </w:tc>
      </w:tr>
      <w:tr w14:paraId="2AE1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4" w:type="dxa"/>
            <w:shd w:val="clear" w:color="auto" w:fill="auto"/>
            <w:noWrap w:val="0"/>
            <w:vAlign w:val="center"/>
          </w:tcPr>
          <w:p w14:paraId="06096653">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米国红</w:t>
            </w:r>
          </w:p>
        </w:tc>
        <w:tc>
          <w:tcPr>
            <w:tcW w:w="611" w:type="dxa"/>
            <w:shd w:val="clear" w:color="auto" w:fill="auto"/>
            <w:noWrap w:val="0"/>
            <w:vAlign w:val="center"/>
          </w:tcPr>
          <w:p w14:paraId="1397B5DB">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男</w:t>
            </w:r>
          </w:p>
        </w:tc>
        <w:tc>
          <w:tcPr>
            <w:tcW w:w="932" w:type="dxa"/>
            <w:shd w:val="clear" w:color="auto" w:fill="auto"/>
            <w:noWrap w:val="0"/>
            <w:vAlign w:val="center"/>
          </w:tcPr>
          <w:p w14:paraId="1586A715">
            <w:pPr>
              <w:pStyle w:val="53"/>
              <w:spacing w:before="0" w:after="0" w:line="360" w:lineRule="exact"/>
              <w:ind w:firstLine="0" w:firstLineChars="0"/>
              <w:rPr>
                <w:rFonts w:hint="default"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1975.7</w:t>
            </w:r>
          </w:p>
        </w:tc>
        <w:tc>
          <w:tcPr>
            <w:tcW w:w="1419" w:type="dxa"/>
            <w:shd w:val="clear" w:color="auto" w:fill="auto"/>
            <w:noWrap w:val="0"/>
            <w:vAlign w:val="center"/>
          </w:tcPr>
          <w:p w14:paraId="02E8AAEC">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副教授</w:t>
            </w:r>
          </w:p>
        </w:tc>
        <w:tc>
          <w:tcPr>
            <w:tcW w:w="1208" w:type="dxa"/>
            <w:shd w:val="clear" w:color="auto" w:fill="auto"/>
            <w:noWrap w:val="0"/>
            <w:vAlign w:val="center"/>
          </w:tcPr>
          <w:p w14:paraId="3244F01A">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专任</w:t>
            </w:r>
          </w:p>
        </w:tc>
        <w:tc>
          <w:tcPr>
            <w:tcW w:w="3546" w:type="dxa"/>
            <w:shd w:val="clear" w:color="auto" w:fill="auto"/>
            <w:noWrap w:val="0"/>
            <w:vAlign w:val="center"/>
          </w:tcPr>
          <w:p w14:paraId="5583CF5C">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焙烤食品生产技术</w:t>
            </w:r>
          </w:p>
        </w:tc>
        <w:tc>
          <w:tcPr>
            <w:tcW w:w="647" w:type="dxa"/>
            <w:shd w:val="clear" w:color="auto" w:fill="auto"/>
            <w:noWrap w:val="0"/>
            <w:vAlign w:val="center"/>
          </w:tcPr>
          <w:p w14:paraId="10738E35">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是</w:t>
            </w:r>
          </w:p>
        </w:tc>
      </w:tr>
      <w:tr w14:paraId="3041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4" w:type="dxa"/>
            <w:shd w:val="clear" w:color="auto" w:fill="auto"/>
            <w:noWrap w:val="0"/>
            <w:vAlign w:val="center"/>
          </w:tcPr>
          <w:p w14:paraId="0F9C9521">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唐琳</w:t>
            </w:r>
          </w:p>
        </w:tc>
        <w:tc>
          <w:tcPr>
            <w:tcW w:w="611" w:type="dxa"/>
            <w:shd w:val="clear" w:color="auto" w:fill="auto"/>
            <w:noWrap w:val="0"/>
            <w:vAlign w:val="center"/>
          </w:tcPr>
          <w:p w14:paraId="4DAB9FC0">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女</w:t>
            </w:r>
          </w:p>
        </w:tc>
        <w:tc>
          <w:tcPr>
            <w:tcW w:w="932" w:type="dxa"/>
            <w:shd w:val="clear" w:color="auto" w:fill="auto"/>
            <w:noWrap w:val="0"/>
            <w:vAlign w:val="center"/>
          </w:tcPr>
          <w:p w14:paraId="0FFE8A34">
            <w:pPr>
              <w:widowControl/>
              <w:spacing w:line="360" w:lineRule="exact"/>
              <w:ind w:firstLine="0" w:firstLineChars="0"/>
              <w:jc w:val="center"/>
              <w:rPr>
                <w:rFonts w:hint="default" w:ascii="Times New Roman" w:hAnsi="Times New Roman" w:eastAsia="宋体" w:cs="Times New Roman"/>
                <w:bCs/>
                <w:kern w:val="0"/>
                <w:sz w:val="21"/>
                <w:szCs w:val="21"/>
                <w:lang w:val="en-US" w:eastAsia="zh-CN" w:bidi="en-US"/>
              </w:rPr>
            </w:pPr>
            <w:r>
              <w:rPr>
                <w:rFonts w:hint="eastAsia" w:cs="Times New Roman"/>
                <w:bCs/>
                <w:kern w:val="0"/>
                <w:sz w:val="21"/>
                <w:szCs w:val="21"/>
                <w:lang w:val="en-US" w:eastAsia="zh-CN" w:bidi="en-US"/>
              </w:rPr>
              <w:t>1985.7</w:t>
            </w:r>
          </w:p>
        </w:tc>
        <w:tc>
          <w:tcPr>
            <w:tcW w:w="1419" w:type="dxa"/>
            <w:shd w:val="clear" w:color="auto" w:fill="auto"/>
            <w:noWrap w:val="0"/>
            <w:vAlign w:val="center"/>
          </w:tcPr>
          <w:p w14:paraId="320EE06F">
            <w:pPr>
              <w:widowControl/>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讲师</w:t>
            </w:r>
          </w:p>
        </w:tc>
        <w:tc>
          <w:tcPr>
            <w:tcW w:w="1208" w:type="dxa"/>
            <w:shd w:val="clear" w:color="auto" w:fill="auto"/>
            <w:noWrap w:val="0"/>
            <w:vAlign w:val="center"/>
          </w:tcPr>
          <w:p w14:paraId="310D93EB">
            <w:pPr>
              <w:widowControl/>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专任</w:t>
            </w:r>
          </w:p>
        </w:tc>
        <w:tc>
          <w:tcPr>
            <w:tcW w:w="3546" w:type="dxa"/>
            <w:shd w:val="clear" w:color="auto" w:fill="auto"/>
            <w:noWrap w:val="0"/>
            <w:vAlign w:val="center"/>
          </w:tcPr>
          <w:p w14:paraId="59EAAA60">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食品仪器分析技术</w:t>
            </w:r>
          </w:p>
        </w:tc>
        <w:tc>
          <w:tcPr>
            <w:tcW w:w="647" w:type="dxa"/>
            <w:shd w:val="clear" w:color="auto" w:fill="auto"/>
            <w:noWrap w:val="0"/>
            <w:vAlign w:val="center"/>
          </w:tcPr>
          <w:p w14:paraId="6246B458">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是</w:t>
            </w:r>
          </w:p>
        </w:tc>
      </w:tr>
      <w:tr w14:paraId="080C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4" w:type="dxa"/>
            <w:shd w:val="clear" w:color="auto" w:fill="auto"/>
            <w:vAlign w:val="center"/>
          </w:tcPr>
          <w:p w14:paraId="7E8DED5B">
            <w:pPr>
              <w:pStyle w:val="53"/>
              <w:spacing w:before="0" w:after="0" w:line="360" w:lineRule="exact"/>
              <w:ind w:firstLine="0" w:firstLineChars="0"/>
              <w:rPr>
                <w:rFonts w:hint="default" w:ascii="Times New Roman" w:hAnsi="Times New Roman" w:eastAsia="宋体" w:cs="Times New Roman"/>
                <w:b w:val="0"/>
                <w:bCs/>
                <w:kern w:val="0"/>
                <w:sz w:val="21"/>
                <w:szCs w:val="21"/>
                <w:lang w:val="en-US" w:eastAsia="zh-CN" w:bidi="en-US"/>
              </w:rPr>
            </w:pPr>
            <w:r>
              <w:rPr>
                <w:rFonts w:hint="eastAsia"/>
                <w:b w:val="0"/>
                <w:bCs/>
                <w:lang w:val="en-US" w:eastAsia="zh-CN"/>
              </w:rPr>
              <w:t>戴安娜</w:t>
            </w:r>
          </w:p>
        </w:tc>
        <w:tc>
          <w:tcPr>
            <w:tcW w:w="611" w:type="dxa"/>
            <w:shd w:val="clear" w:color="auto" w:fill="auto"/>
            <w:vAlign w:val="center"/>
          </w:tcPr>
          <w:p w14:paraId="129D2B6C">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女</w:t>
            </w:r>
          </w:p>
        </w:tc>
        <w:tc>
          <w:tcPr>
            <w:tcW w:w="932" w:type="dxa"/>
            <w:shd w:val="clear" w:color="auto" w:fill="auto"/>
            <w:vAlign w:val="center"/>
          </w:tcPr>
          <w:p w14:paraId="59C100D8">
            <w:pPr>
              <w:pStyle w:val="53"/>
              <w:spacing w:before="0" w:after="0" w:line="360" w:lineRule="exact"/>
              <w:ind w:firstLine="0" w:firstLineChars="0"/>
              <w:rPr>
                <w:rFonts w:hint="default"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1995.3</w:t>
            </w:r>
          </w:p>
        </w:tc>
        <w:tc>
          <w:tcPr>
            <w:tcW w:w="1419" w:type="dxa"/>
            <w:shd w:val="clear" w:color="auto" w:fill="auto"/>
            <w:vAlign w:val="center"/>
          </w:tcPr>
          <w:p w14:paraId="1E7BFC08">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讲师</w:t>
            </w:r>
          </w:p>
        </w:tc>
        <w:tc>
          <w:tcPr>
            <w:tcW w:w="1208" w:type="dxa"/>
            <w:shd w:val="clear" w:color="auto" w:fill="auto"/>
            <w:vAlign w:val="center"/>
          </w:tcPr>
          <w:p w14:paraId="7789ECD3">
            <w:pPr>
              <w:widowControl/>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专任</w:t>
            </w:r>
          </w:p>
        </w:tc>
        <w:tc>
          <w:tcPr>
            <w:tcW w:w="3546" w:type="dxa"/>
            <w:shd w:val="clear" w:color="auto" w:fill="auto"/>
            <w:vAlign w:val="center"/>
          </w:tcPr>
          <w:p w14:paraId="750C2BEA">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食品营养学基础、食品营养与健康</w:t>
            </w:r>
          </w:p>
        </w:tc>
        <w:tc>
          <w:tcPr>
            <w:tcW w:w="647" w:type="dxa"/>
            <w:shd w:val="clear" w:color="auto" w:fill="auto"/>
            <w:vAlign w:val="center"/>
          </w:tcPr>
          <w:p w14:paraId="6F4265B2">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是</w:t>
            </w:r>
          </w:p>
        </w:tc>
      </w:tr>
      <w:tr w14:paraId="2D26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4" w:type="dxa"/>
            <w:shd w:val="clear" w:color="auto" w:fill="auto"/>
            <w:vAlign w:val="center"/>
          </w:tcPr>
          <w:p w14:paraId="2F0528D1">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val="en-US" w:eastAsia="zh-CN"/>
              </w:rPr>
              <w:t>姜慰</w:t>
            </w:r>
          </w:p>
        </w:tc>
        <w:tc>
          <w:tcPr>
            <w:tcW w:w="611" w:type="dxa"/>
            <w:shd w:val="clear" w:color="auto" w:fill="auto"/>
            <w:vAlign w:val="center"/>
          </w:tcPr>
          <w:p w14:paraId="188A9CBC">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女</w:t>
            </w:r>
          </w:p>
        </w:tc>
        <w:tc>
          <w:tcPr>
            <w:tcW w:w="932" w:type="dxa"/>
            <w:shd w:val="clear" w:color="auto" w:fill="auto"/>
            <w:vAlign w:val="center"/>
          </w:tcPr>
          <w:p w14:paraId="438690D6">
            <w:pPr>
              <w:widowControl/>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cs="Times New Roman"/>
                <w:b w:val="0"/>
                <w:bCs/>
                <w:kern w:val="0"/>
                <w:sz w:val="21"/>
                <w:szCs w:val="21"/>
                <w:lang w:val="en-US" w:eastAsia="zh-CN" w:bidi="en-US"/>
              </w:rPr>
              <w:t>1997.3</w:t>
            </w:r>
          </w:p>
        </w:tc>
        <w:tc>
          <w:tcPr>
            <w:tcW w:w="1419" w:type="dxa"/>
            <w:shd w:val="clear" w:color="auto" w:fill="auto"/>
            <w:vAlign w:val="center"/>
          </w:tcPr>
          <w:p w14:paraId="56EF554C">
            <w:pPr>
              <w:widowControl/>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助讲</w:t>
            </w:r>
          </w:p>
        </w:tc>
        <w:tc>
          <w:tcPr>
            <w:tcW w:w="1208" w:type="dxa"/>
            <w:shd w:val="clear" w:color="auto" w:fill="auto"/>
            <w:vAlign w:val="center"/>
          </w:tcPr>
          <w:p w14:paraId="02CCA483">
            <w:pPr>
              <w:widowControl/>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专任</w:t>
            </w:r>
          </w:p>
        </w:tc>
        <w:tc>
          <w:tcPr>
            <w:tcW w:w="3546" w:type="dxa"/>
            <w:shd w:val="clear" w:color="auto" w:fill="auto"/>
            <w:vAlign w:val="center"/>
          </w:tcPr>
          <w:p w14:paraId="12DE317E">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食品加工技术概论</w:t>
            </w:r>
          </w:p>
        </w:tc>
        <w:tc>
          <w:tcPr>
            <w:tcW w:w="647" w:type="dxa"/>
            <w:shd w:val="clear" w:color="auto" w:fill="auto"/>
            <w:vAlign w:val="center"/>
          </w:tcPr>
          <w:p w14:paraId="27A670AF">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是</w:t>
            </w:r>
          </w:p>
        </w:tc>
      </w:tr>
      <w:tr w14:paraId="5ECF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4" w:type="dxa"/>
            <w:shd w:val="clear" w:color="auto" w:fill="auto"/>
            <w:vAlign w:val="center"/>
          </w:tcPr>
          <w:p w14:paraId="56C3C634">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李艳丽</w:t>
            </w:r>
          </w:p>
        </w:tc>
        <w:tc>
          <w:tcPr>
            <w:tcW w:w="611" w:type="dxa"/>
            <w:shd w:val="clear" w:color="auto" w:fill="auto"/>
            <w:vAlign w:val="center"/>
          </w:tcPr>
          <w:p w14:paraId="34CD0A4F">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女</w:t>
            </w:r>
          </w:p>
        </w:tc>
        <w:tc>
          <w:tcPr>
            <w:tcW w:w="932" w:type="dxa"/>
            <w:shd w:val="clear" w:color="auto" w:fill="auto"/>
            <w:vAlign w:val="center"/>
          </w:tcPr>
          <w:p w14:paraId="51EEC537">
            <w:pPr>
              <w:widowControl/>
              <w:spacing w:line="360" w:lineRule="exact"/>
              <w:ind w:firstLine="0" w:firstLineChars="0"/>
              <w:jc w:val="center"/>
              <w:rPr>
                <w:rFonts w:hint="default" w:ascii="Times New Roman" w:hAnsi="Times New Roman" w:eastAsia="宋体" w:cs="Times New Roman"/>
                <w:bCs/>
                <w:kern w:val="0"/>
                <w:sz w:val="21"/>
                <w:szCs w:val="21"/>
                <w:lang w:val="en-US" w:eastAsia="zh-CN" w:bidi="en-US"/>
              </w:rPr>
            </w:pPr>
            <w:r>
              <w:rPr>
                <w:rFonts w:hint="eastAsia" w:cs="Times New Roman"/>
                <w:bCs/>
                <w:kern w:val="0"/>
                <w:sz w:val="21"/>
                <w:szCs w:val="21"/>
                <w:lang w:val="en-US" w:eastAsia="zh-CN" w:bidi="en-US"/>
              </w:rPr>
              <w:t>1990.4</w:t>
            </w:r>
          </w:p>
        </w:tc>
        <w:tc>
          <w:tcPr>
            <w:tcW w:w="1419" w:type="dxa"/>
            <w:shd w:val="clear" w:color="auto" w:fill="auto"/>
            <w:vAlign w:val="center"/>
          </w:tcPr>
          <w:p w14:paraId="42734200">
            <w:pPr>
              <w:widowControl/>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助讲</w:t>
            </w:r>
          </w:p>
        </w:tc>
        <w:tc>
          <w:tcPr>
            <w:tcW w:w="1208" w:type="dxa"/>
            <w:shd w:val="clear" w:color="auto" w:fill="auto"/>
            <w:vAlign w:val="center"/>
          </w:tcPr>
          <w:p w14:paraId="59639A58">
            <w:pPr>
              <w:widowControl/>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专任</w:t>
            </w:r>
          </w:p>
        </w:tc>
        <w:tc>
          <w:tcPr>
            <w:tcW w:w="3546" w:type="dxa"/>
            <w:shd w:val="clear" w:color="auto" w:fill="auto"/>
            <w:vAlign w:val="center"/>
          </w:tcPr>
          <w:p w14:paraId="48FB0202">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食品感官分析技术、食品微生物检验技术、食品合规管理</w:t>
            </w:r>
          </w:p>
        </w:tc>
        <w:tc>
          <w:tcPr>
            <w:tcW w:w="647" w:type="dxa"/>
            <w:shd w:val="clear" w:color="auto" w:fill="auto"/>
            <w:vAlign w:val="center"/>
          </w:tcPr>
          <w:p w14:paraId="5E402EF3">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是</w:t>
            </w:r>
          </w:p>
        </w:tc>
      </w:tr>
      <w:tr w14:paraId="40E4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4" w:type="dxa"/>
            <w:shd w:val="clear" w:color="auto" w:fill="auto"/>
            <w:vAlign w:val="center"/>
          </w:tcPr>
          <w:p w14:paraId="5F32BFC8">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段鑫鑫</w:t>
            </w:r>
          </w:p>
        </w:tc>
        <w:tc>
          <w:tcPr>
            <w:tcW w:w="611" w:type="dxa"/>
            <w:shd w:val="clear" w:color="auto" w:fill="auto"/>
            <w:vAlign w:val="center"/>
          </w:tcPr>
          <w:p w14:paraId="615C3F8A">
            <w:pPr>
              <w:widowControl/>
              <w:spacing w:line="240" w:lineRule="auto"/>
              <w:ind w:firstLine="0" w:firstLineChars="0"/>
              <w:jc w:val="center"/>
              <w:rPr>
                <w:rFonts w:hint="default" w:ascii="Times New Roman" w:hAnsi="Times New Roman" w:eastAsia="宋体" w:cs="Times New Roman"/>
                <w:bCs/>
                <w:kern w:val="0"/>
                <w:sz w:val="21"/>
                <w:szCs w:val="21"/>
                <w:lang w:val="en-US" w:eastAsia="zh-CN" w:bidi="en-US"/>
              </w:rPr>
            </w:pPr>
            <w:r>
              <w:rPr>
                <w:rFonts w:hint="eastAsia" w:cs="Times New Roman"/>
                <w:bCs/>
                <w:kern w:val="0"/>
                <w:sz w:val="21"/>
                <w:szCs w:val="21"/>
                <w:lang w:val="en-US" w:eastAsia="zh-CN" w:bidi="en-US"/>
              </w:rPr>
              <w:t>女</w:t>
            </w:r>
          </w:p>
        </w:tc>
        <w:tc>
          <w:tcPr>
            <w:tcW w:w="932" w:type="dxa"/>
            <w:shd w:val="clear" w:color="auto" w:fill="auto"/>
            <w:vAlign w:val="center"/>
          </w:tcPr>
          <w:p w14:paraId="4A2215E5">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1997.8</w:t>
            </w:r>
          </w:p>
        </w:tc>
        <w:tc>
          <w:tcPr>
            <w:tcW w:w="1419" w:type="dxa"/>
            <w:shd w:val="clear" w:color="auto" w:fill="auto"/>
            <w:vAlign w:val="center"/>
          </w:tcPr>
          <w:p w14:paraId="091ABECC">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助讲</w:t>
            </w:r>
          </w:p>
        </w:tc>
        <w:tc>
          <w:tcPr>
            <w:tcW w:w="1208" w:type="dxa"/>
            <w:shd w:val="clear" w:color="auto" w:fill="auto"/>
            <w:vAlign w:val="center"/>
          </w:tcPr>
          <w:p w14:paraId="0951F479">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专任</w:t>
            </w:r>
          </w:p>
        </w:tc>
        <w:tc>
          <w:tcPr>
            <w:tcW w:w="3546" w:type="dxa"/>
            <w:shd w:val="clear" w:color="auto" w:fill="auto"/>
            <w:vAlign w:val="center"/>
          </w:tcPr>
          <w:p w14:paraId="344F4CF2">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基础化学、食品生物化学、食品理化检验技术</w:t>
            </w:r>
          </w:p>
        </w:tc>
        <w:tc>
          <w:tcPr>
            <w:tcW w:w="647" w:type="dxa"/>
            <w:shd w:val="clear" w:color="auto" w:fill="auto"/>
            <w:vAlign w:val="center"/>
          </w:tcPr>
          <w:p w14:paraId="36D73CE7">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是</w:t>
            </w:r>
          </w:p>
        </w:tc>
      </w:tr>
      <w:tr w14:paraId="0E51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4" w:type="dxa"/>
            <w:shd w:val="clear" w:color="auto" w:fill="auto"/>
            <w:vAlign w:val="center"/>
          </w:tcPr>
          <w:p w14:paraId="6ABDF953">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郭正霞</w:t>
            </w:r>
          </w:p>
        </w:tc>
        <w:tc>
          <w:tcPr>
            <w:tcW w:w="611" w:type="dxa"/>
            <w:shd w:val="clear" w:color="auto" w:fill="auto"/>
            <w:vAlign w:val="center"/>
          </w:tcPr>
          <w:p w14:paraId="07113DF7">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女</w:t>
            </w:r>
          </w:p>
        </w:tc>
        <w:tc>
          <w:tcPr>
            <w:tcW w:w="932" w:type="dxa"/>
            <w:shd w:val="clear" w:color="auto" w:fill="auto"/>
            <w:vAlign w:val="center"/>
          </w:tcPr>
          <w:p w14:paraId="62B6D899">
            <w:pPr>
              <w:widowControl/>
              <w:spacing w:line="360" w:lineRule="exact"/>
              <w:ind w:firstLine="0" w:firstLineChars="0"/>
              <w:jc w:val="center"/>
              <w:rPr>
                <w:rFonts w:hint="default" w:ascii="Times New Roman" w:hAnsi="Times New Roman" w:eastAsia="宋体" w:cs="Times New Roman"/>
                <w:bCs/>
                <w:kern w:val="0"/>
                <w:sz w:val="21"/>
                <w:szCs w:val="21"/>
                <w:lang w:val="en-US" w:eastAsia="zh-CN" w:bidi="en-US"/>
              </w:rPr>
            </w:pPr>
            <w:r>
              <w:rPr>
                <w:rFonts w:hint="eastAsia" w:cs="Times New Roman"/>
                <w:bCs/>
                <w:kern w:val="0"/>
                <w:sz w:val="21"/>
                <w:szCs w:val="21"/>
                <w:lang w:val="en-US" w:eastAsia="zh-CN" w:bidi="en-US"/>
              </w:rPr>
              <w:t>1988.11</w:t>
            </w:r>
          </w:p>
        </w:tc>
        <w:tc>
          <w:tcPr>
            <w:tcW w:w="1419" w:type="dxa"/>
            <w:shd w:val="clear" w:color="auto" w:fill="auto"/>
            <w:vAlign w:val="center"/>
          </w:tcPr>
          <w:p w14:paraId="61E3C86D">
            <w:pPr>
              <w:widowControl/>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讲师</w:t>
            </w:r>
          </w:p>
        </w:tc>
        <w:tc>
          <w:tcPr>
            <w:tcW w:w="1208" w:type="dxa"/>
            <w:shd w:val="clear" w:color="auto" w:fill="auto"/>
            <w:vAlign w:val="center"/>
          </w:tcPr>
          <w:p w14:paraId="094FB456">
            <w:pPr>
              <w:widowControl/>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专任</w:t>
            </w:r>
          </w:p>
        </w:tc>
        <w:tc>
          <w:tcPr>
            <w:tcW w:w="3546" w:type="dxa"/>
            <w:shd w:val="clear" w:color="auto" w:fill="auto"/>
            <w:vAlign w:val="center"/>
          </w:tcPr>
          <w:p w14:paraId="70E748F7">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食品快速检测技术、检测实验室管理与运行</w:t>
            </w:r>
          </w:p>
        </w:tc>
        <w:tc>
          <w:tcPr>
            <w:tcW w:w="647" w:type="dxa"/>
            <w:shd w:val="clear" w:color="auto" w:fill="auto"/>
            <w:vAlign w:val="center"/>
          </w:tcPr>
          <w:p w14:paraId="39B4158A">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是</w:t>
            </w:r>
          </w:p>
        </w:tc>
      </w:tr>
      <w:tr w14:paraId="2ABC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4" w:type="dxa"/>
            <w:shd w:val="clear" w:color="auto" w:fill="auto"/>
            <w:vAlign w:val="center"/>
          </w:tcPr>
          <w:p w14:paraId="03CC57BB">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徐建祥</w:t>
            </w:r>
          </w:p>
        </w:tc>
        <w:tc>
          <w:tcPr>
            <w:tcW w:w="611" w:type="dxa"/>
            <w:shd w:val="clear" w:color="auto" w:fill="auto"/>
            <w:vAlign w:val="center"/>
          </w:tcPr>
          <w:p w14:paraId="42BC5675">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男</w:t>
            </w:r>
          </w:p>
        </w:tc>
        <w:tc>
          <w:tcPr>
            <w:tcW w:w="932" w:type="dxa"/>
            <w:shd w:val="clear" w:color="auto" w:fill="auto"/>
            <w:vAlign w:val="center"/>
          </w:tcPr>
          <w:p w14:paraId="532A0A0E">
            <w:pPr>
              <w:pStyle w:val="53"/>
              <w:spacing w:before="0" w:after="0" w:line="360" w:lineRule="exact"/>
              <w:ind w:firstLine="0" w:firstLineChars="0"/>
              <w:rPr>
                <w:rFonts w:hint="default"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1966.5</w:t>
            </w:r>
          </w:p>
        </w:tc>
        <w:tc>
          <w:tcPr>
            <w:tcW w:w="1419" w:type="dxa"/>
            <w:shd w:val="clear" w:color="auto" w:fill="auto"/>
            <w:vAlign w:val="center"/>
          </w:tcPr>
          <w:p w14:paraId="2284CE87">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副研究员</w:t>
            </w:r>
          </w:p>
        </w:tc>
        <w:tc>
          <w:tcPr>
            <w:tcW w:w="1208" w:type="dxa"/>
            <w:shd w:val="clear" w:color="auto" w:fill="auto"/>
            <w:vAlign w:val="center"/>
          </w:tcPr>
          <w:p w14:paraId="4F63DB54">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兼职</w:t>
            </w:r>
          </w:p>
        </w:tc>
        <w:tc>
          <w:tcPr>
            <w:tcW w:w="3546" w:type="dxa"/>
            <w:shd w:val="clear" w:color="auto" w:fill="auto"/>
            <w:vAlign w:val="center"/>
          </w:tcPr>
          <w:p w14:paraId="41F0E916">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食品检测综合实训</w:t>
            </w:r>
          </w:p>
        </w:tc>
        <w:tc>
          <w:tcPr>
            <w:tcW w:w="647" w:type="dxa"/>
            <w:shd w:val="clear" w:color="auto" w:fill="auto"/>
            <w:vAlign w:val="center"/>
          </w:tcPr>
          <w:p w14:paraId="2C982871">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是</w:t>
            </w:r>
          </w:p>
        </w:tc>
      </w:tr>
      <w:tr w14:paraId="11F8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4" w:type="dxa"/>
            <w:shd w:val="clear" w:color="auto" w:fill="auto"/>
            <w:vAlign w:val="center"/>
          </w:tcPr>
          <w:p w14:paraId="49C4E73F">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于江</w:t>
            </w:r>
          </w:p>
        </w:tc>
        <w:tc>
          <w:tcPr>
            <w:tcW w:w="611" w:type="dxa"/>
            <w:shd w:val="clear" w:color="auto" w:fill="auto"/>
            <w:vAlign w:val="center"/>
          </w:tcPr>
          <w:p w14:paraId="26DD370C">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男</w:t>
            </w:r>
          </w:p>
        </w:tc>
        <w:tc>
          <w:tcPr>
            <w:tcW w:w="932" w:type="dxa"/>
            <w:shd w:val="clear" w:color="auto" w:fill="auto"/>
            <w:vAlign w:val="center"/>
          </w:tcPr>
          <w:p w14:paraId="50E5AE2A">
            <w:pPr>
              <w:pStyle w:val="53"/>
              <w:spacing w:before="0" w:after="0" w:line="360" w:lineRule="exact"/>
              <w:ind w:firstLine="0" w:firstLineChars="0"/>
              <w:rPr>
                <w:rFonts w:hint="default"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1970.6</w:t>
            </w:r>
          </w:p>
        </w:tc>
        <w:tc>
          <w:tcPr>
            <w:tcW w:w="1419" w:type="dxa"/>
            <w:shd w:val="clear" w:color="auto" w:fill="auto"/>
            <w:vAlign w:val="center"/>
          </w:tcPr>
          <w:p w14:paraId="0AEED88D">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工程师</w:t>
            </w:r>
          </w:p>
        </w:tc>
        <w:tc>
          <w:tcPr>
            <w:tcW w:w="1208" w:type="dxa"/>
            <w:shd w:val="clear" w:color="auto" w:fill="auto"/>
            <w:vAlign w:val="center"/>
          </w:tcPr>
          <w:p w14:paraId="20474229">
            <w:pPr>
              <w:widowControl/>
              <w:spacing w:line="360" w:lineRule="exact"/>
              <w:ind w:firstLine="0" w:firstLineChars="0"/>
              <w:jc w:val="center"/>
              <w:rPr>
                <w:rFonts w:hint="eastAsia" w:ascii="Times New Roman" w:hAnsi="Times New Roman" w:eastAsia="宋体" w:cs="Times New Roman"/>
                <w:bCs/>
                <w:kern w:val="0"/>
                <w:sz w:val="21"/>
                <w:szCs w:val="21"/>
                <w:lang w:val="en-US" w:eastAsia="zh-CN" w:bidi="en-US"/>
              </w:rPr>
            </w:pPr>
            <w:r>
              <w:rPr>
                <w:rFonts w:hint="eastAsia"/>
                <w:bCs/>
                <w:kern w:val="0"/>
                <w:sz w:val="21"/>
                <w:szCs w:val="21"/>
                <w:lang w:bidi="en-US"/>
              </w:rPr>
              <w:t>兼职</w:t>
            </w:r>
          </w:p>
        </w:tc>
        <w:tc>
          <w:tcPr>
            <w:tcW w:w="3546" w:type="dxa"/>
            <w:shd w:val="clear" w:color="auto" w:fill="auto"/>
            <w:vAlign w:val="center"/>
          </w:tcPr>
          <w:p w14:paraId="008192D1">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食品加工综合实训</w:t>
            </w:r>
          </w:p>
        </w:tc>
        <w:tc>
          <w:tcPr>
            <w:tcW w:w="647" w:type="dxa"/>
            <w:shd w:val="clear" w:color="auto" w:fill="auto"/>
            <w:vAlign w:val="center"/>
          </w:tcPr>
          <w:p w14:paraId="2B4C5886">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是</w:t>
            </w:r>
          </w:p>
        </w:tc>
      </w:tr>
      <w:tr w14:paraId="5B58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4" w:type="dxa"/>
            <w:shd w:val="clear" w:color="auto" w:fill="auto"/>
            <w:vAlign w:val="center"/>
          </w:tcPr>
          <w:p w14:paraId="5F8DB69A">
            <w:pPr>
              <w:pStyle w:val="53"/>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rPr>
              <w:t>陈飞</w:t>
            </w:r>
          </w:p>
        </w:tc>
        <w:tc>
          <w:tcPr>
            <w:tcW w:w="611" w:type="dxa"/>
            <w:shd w:val="clear" w:color="auto" w:fill="auto"/>
            <w:vAlign w:val="center"/>
          </w:tcPr>
          <w:p w14:paraId="73EA1036">
            <w:pPr>
              <w:pStyle w:val="53"/>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rPr>
              <w:t>男</w:t>
            </w:r>
          </w:p>
        </w:tc>
        <w:tc>
          <w:tcPr>
            <w:tcW w:w="932" w:type="dxa"/>
            <w:shd w:val="clear" w:color="auto" w:fill="auto"/>
            <w:vAlign w:val="center"/>
          </w:tcPr>
          <w:p w14:paraId="280BEA97">
            <w:pPr>
              <w:pStyle w:val="53"/>
              <w:ind w:firstLine="0" w:firstLineChars="0"/>
              <w:rPr>
                <w:rFonts w:hint="eastAsia"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1972.5</w:t>
            </w:r>
          </w:p>
        </w:tc>
        <w:tc>
          <w:tcPr>
            <w:tcW w:w="1419" w:type="dxa"/>
            <w:shd w:val="clear" w:color="auto" w:fill="auto"/>
            <w:vAlign w:val="center"/>
          </w:tcPr>
          <w:p w14:paraId="70A55345">
            <w:pPr>
              <w:pStyle w:val="53"/>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rPr>
              <w:t>高级工程师</w:t>
            </w:r>
          </w:p>
        </w:tc>
        <w:tc>
          <w:tcPr>
            <w:tcW w:w="1208" w:type="dxa"/>
            <w:shd w:val="clear" w:color="auto" w:fill="auto"/>
            <w:vAlign w:val="center"/>
          </w:tcPr>
          <w:p w14:paraId="1CAED787">
            <w:pPr>
              <w:pStyle w:val="53"/>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rPr>
              <w:t>兼职</w:t>
            </w:r>
          </w:p>
        </w:tc>
        <w:tc>
          <w:tcPr>
            <w:tcW w:w="3546" w:type="dxa"/>
            <w:shd w:val="clear" w:color="auto" w:fill="auto"/>
            <w:vAlign w:val="center"/>
          </w:tcPr>
          <w:p w14:paraId="30461B21">
            <w:pPr>
              <w:pStyle w:val="53"/>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食品安全综合实训</w:t>
            </w:r>
          </w:p>
        </w:tc>
        <w:tc>
          <w:tcPr>
            <w:tcW w:w="647" w:type="dxa"/>
            <w:shd w:val="clear" w:color="auto" w:fill="auto"/>
            <w:vAlign w:val="center"/>
          </w:tcPr>
          <w:p w14:paraId="01FB5089">
            <w:pPr>
              <w:pStyle w:val="53"/>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rPr>
              <w:t>是</w:t>
            </w:r>
          </w:p>
        </w:tc>
      </w:tr>
    </w:tbl>
    <w:p w14:paraId="528D6A72">
      <w:pPr>
        <w:pageBreakBefore w:val="0"/>
        <w:kinsoku/>
        <w:wordWrap/>
        <w:overflowPunct/>
        <w:topLinePunct w:val="0"/>
        <w:autoSpaceDE/>
        <w:autoSpaceDN/>
        <w:bidi w:val="0"/>
        <w:spacing w:line="360" w:lineRule="auto"/>
        <w:ind w:left="0" w:right="0" w:rightChars="0"/>
        <w:rPr>
          <w:rFonts w:hint="default" w:eastAsia="宋体"/>
          <w:sz w:val="24"/>
          <w:szCs w:val="24"/>
          <w:lang w:val="en-US" w:eastAsia="zh-CN"/>
        </w:rPr>
      </w:pPr>
      <w:r>
        <w:rPr>
          <w:rFonts w:hint="eastAsia"/>
          <w:sz w:val="24"/>
          <w:szCs w:val="24"/>
          <w:lang w:val="en-US" w:eastAsia="zh-CN"/>
        </w:rPr>
        <w:t>注：可将专任教师与兼职教师分开写</w:t>
      </w:r>
    </w:p>
    <w:p w14:paraId="07A9304F">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105" w:name="_Toc24404"/>
      <w:bookmarkStart w:id="106" w:name="_Toc23816"/>
      <w:r>
        <w:rPr>
          <w:rFonts w:hint="eastAsia" w:asciiTheme="minorEastAsia" w:hAnsiTheme="minorEastAsia" w:eastAsiaTheme="minorEastAsia" w:cstheme="minorEastAsia"/>
          <w:sz w:val="28"/>
          <w:szCs w:val="28"/>
          <w:lang w:val="en-US" w:eastAsia="zh-CN"/>
        </w:rPr>
        <w:t>（二）教学设施</w:t>
      </w:r>
      <w:bookmarkEnd w:id="105"/>
      <w:bookmarkEnd w:id="106"/>
    </w:p>
    <w:p w14:paraId="54C9A5FA">
      <w:pPr>
        <w:pStyle w:val="4"/>
        <w:pageBreakBefore w:val="0"/>
        <w:kinsoku/>
        <w:wordWrap/>
        <w:overflowPunct/>
        <w:topLinePunct w:val="0"/>
        <w:autoSpaceDE/>
        <w:autoSpaceDN/>
        <w:bidi w:val="0"/>
        <w:spacing w:line="360" w:lineRule="auto"/>
        <w:ind w:left="0" w:right="0" w:rightChars="0"/>
        <w:rPr>
          <w:rFonts w:hint="eastAsia"/>
          <w:sz w:val="24"/>
          <w:szCs w:val="24"/>
        </w:rPr>
      </w:pPr>
      <w:bookmarkStart w:id="107" w:name="_Toc2472"/>
      <w:r>
        <w:rPr>
          <w:rFonts w:hint="eastAsia"/>
          <w:sz w:val="24"/>
          <w:szCs w:val="24"/>
        </w:rPr>
        <w:t>1.专业教室基本条件</w:t>
      </w:r>
      <w:bookmarkEnd w:id="107"/>
    </w:p>
    <w:p w14:paraId="55608F09">
      <w:pPr>
        <w:pageBreakBefore w:val="0"/>
        <w:kinsoku/>
        <w:wordWrap/>
        <w:overflowPunct/>
        <w:topLinePunct w:val="0"/>
        <w:autoSpaceDE/>
        <w:autoSpaceDN/>
        <w:bidi w:val="0"/>
        <w:spacing w:line="360" w:lineRule="auto"/>
        <w:ind w:left="0" w:right="0" w:rightChars="0"/>
        <w:rPr>
          <w:rFonts w:hint="eastAsia"/>
          <w:sz w:val="24"/>
          <w:szCs w:val="22"/>
        </w:rPr>
      </w:pPr>
      <w:bookmarkStart w:id="108" w:name="_Toc11998"/>
      <w:r>
        <w:rPr>
          <w:rFonts w:hint="eastAsia"/>
          <w:sz w:val="24"/>
          <w:szCs w:val="22"/>
        </w:rPr>
        <w:t>配备黑（白）板、多媒体计算机、投影设备、音响设备，互联网接入或 WiFi 环境，并具有网络安全防护措施。安装应急照明装置并保持良好状态，符合紧急疏散要求、标志明显、保持逃生通道畅通无阻。</w:t>
      </w:r>
      <w:bookmarkEnd w:id="108"/>
    </w:p>
    <w:p w14:paraId="438899DA">
      <w:pPr>
        <w:pStyle w:val="4"/>
        <w:pageBreakBefore w:val="0"/>
        <w:kinsoku/>
        <w:wordWrap/>
        <w:overflowPunct/>
        <w:topLinePunct w:val="0"/>
        <w:autoSpaceDE/>
        <w:autoSpaceDN/>
        <w:bidi w:val="0"/>
        <w:spacing w:line="360" w:lineRule="auto"/>
        <w:ind w:left="0" w:right="0" w:rightChars="0"/>
        <w:rPr>
          <w:rFonts w:hint="eastAsia"/>
          <w:sz w:val="24"/>
          <w:szCs w:val="24"/>
        </w:rPr>
      </w:pPr>
      <w:bookmarkStart w:id="109" w:name="_Toc5665"/>
      <w:r>
        <w:rPr>
          <w:rFonts w:hint="eastAsia"/>
          <w:sz w:val="24"/>
          <w:szCs w:val="24"/>
        </w:rPr>
        <w:t>2.校内实训室（基地）基本要求</w:t>
      </w:r>
      <w:bookmarkEnd w:id="109"/>
    </w:p>
    <w:p w14:paraId="0369F65F">
      <w:pPr>
        <w:pageBreakBefore w:val="0"/>
        <w:kinsoku/>
        <w:wordWrap/>
        <w:overflowPunct/>
        <w:topLinePunct w:val="0"/>
        <w:autoSpaceDE/>
        <w:autoSpaceDN/>
        <w:bidi w:val="0"/>
        <w:spacing w:line="360" w:lineRule="auto"/>
        <w:ind w:left="0" w:right="0" w:rightChars="0"/>
        <w:rPr>
          <w:rFonts w:hint="eastAsia"/>
          <w:sz w:val="24"/>
          <w:szCs w:val="22"/>
        </w:rPr>
      </w:pPr>
      <w:bookmarkStart w:id="110" w:name="_Toc26906"/>
      <w:r>
        <w:rPr>
          <w:rFonts w:hint="eastAsia"/>
          <w:sz w:val="24"/>
          <w:szCs w:val="22"/>
        </w:rPr>
        <w:t>校内实训基地结合理论教学的开展，重点帮助学生建立对有关知识的感性认识，初步培养学生的动手能力和职业技能。</w:t>
      </w:r>
      <w:bookmarkEnd w:id="110"/>
    </w:p>
    <w:p w14:paraId="31BD4888">
      <w:pPr>
        <w:ind w:firstLine="480"/>
        <w:rPr>
          <w:rFonts w:ascii="宋体" w:hAnsi="宋体" w:cs="宋体"/>
          <w:sz w:val="24"/>
        </w:rPr>
      </w:pPr>
      <w:bookmarkStart w:id="111" w:name="_Toc28056"/>
      <w:bookmarkStart w:id="112" w:name="_Toc8107"/>
      <w:r>
        <w:rPr>
          <w:rFonts w:hint="eastAsia"/>
          <w:sz w:val="24"/>
          <w:szCs w:val="22"/>
        </w:rPr>
        <w:t>（1）</w:t>
      </w:r>
      <w:bookmarkEnd w:id="111"/>
      <w:r>
        <w:rPr>
          <w:rFonts w:ascii="宋体" w:hAnsi="宋体" w:cs="宋体"/>
          <w:sz w:val="24"/>
        </w:rPr>
        <w:t>食品理化分析实训室</w:t>
      </w:r>
    </w:p>
    <w:p w14:paraId="3D138A16">
      <w:pPr>
        <w:ind w:firstLine="480"/>
        <w:rPr>
          <w:rFonts w:ascii="宋体" w:hAnsi="宋体" w:cs="宋体"/>
          <w:sz w:val="24"/>
        </w:rPr>
      </w:pPr>
      <w:r>
        <w:rPr>
          <w:rFonts w:hint="eastAsia" w:ascii="宋体" w:hAnsi="宋体" w:cs="宋体"/>
          <w:sz w:val="24"/>
        </w:rPr>
        <w:t>对应课程：基础化学、食品生物化学、食品理化检验技术、食品掺伪鉴别技术</w:t>
      </w:r>
    </w:p>
    <w:p w14:paraId="3CA99E5E">
      <w:pPr>
        <w:ind w:firstLine="480"/>
        <w:rPr>
          <w:sz w:val="24"/>
          <w:szCs w:val="22"/>
        </w:rPr>
      </w:pPr>
      <w:r>
        <w:rPr>
          <w:rFonts w:hint="eastAsia" w:ascii="宋体" w:hAnsi="宋体" w:cs="宋体"/>
          <w:sz w:val="24"/>
        </w:rPr>
        <w:t>主要实训项目：</w:t>
      </w:r>
      <w:r>
        <w:rPr>
          <w:rFonts w:ascii="宋体" w:hAnsi="宋体" w:cs="宋体"/>
          <w:sz w:val="24"/>
        </w:rPr>
        <w:t>食品成分常规分析、食品物理检验、有害成分检验</w:t>
      </w:r>
      <w:r>
        <w:rPr>
          <w:rFonts w:hint="eastAsia" w:ascii="宋体" w:hAnsi="宋体" w:cs="宋体"/>
          <w:sz w:val="24"/>
        </w:rPr>
        <w:t>、</w:t>
      </w:r>
      <w:r>
        <w:rPr>
          <w:rFonts w:ascii="宋体" w:hAnsi="宋体" w:cs="宋体"/>
          <w:sz w:val="24"/>
        </w:rPr>
        <w:t>食品营养检测等。</w:t>
      </w:r>
    </w:p>
    <w:p w14:paraId="29F8BDF5">
      <w:pPr>
        <w:ind w:left="560" w:leftChars="200" w:firstLine="0" w:firstLineChars="0"/>
        <w:rPr>
          <w:rFonts w:ascii="宋体" w:hAnsi="宋体" w:cs="宋体"/>
          <w:sz w:val="24"/>
        </w:rPr>
      </w:pPr>
      <w:bookmarkStart w:id="113" w:name="_Toc27040"/>
      <w:r>
        <w:rPr>
          <w:rFonts w:hint="eastAsia"/>
          <w:sz w:val="24"/>
          <w:szCs w:val="22"/>
        </w:rPr>
        <w:t>（2）</w:t>
      </w:r>
      <w:bookmarkEnd w:id="113"/>
      <w:r>
        <w:rPr>
          <w:rFonts w:hint="eastAsia"/>
          <w:sz w:val="24"/>
          <w:szCs w:val="22"/>
        </w:rPr>
        <w:t>基础</w:t>
      </w:r>
      <w:r>
        <w:rPr>
          <w:rFonts w:ascii="宋体" w:hAnsi="宋体" w:cs="宋体"/>
          <w:sz w:val="24"/>
        </w:rPr>
        <w:t>微生物</w:t>
      </w:r>
      <w:r>
        <w:rPr>
          <w:rFonts w:hint="eastAsia" w:ascii="宋体" w:hAnsi="宋体" w:cs="宋体"/>
          <w:sz w:val="24"/>
        </w:rPr>
        <w:t>检测</w:t>
      </w:r>
      <w:r>
        <w:rPr>
          <w:rFonts w:ascii="宋体" w:hAnsi="宋体" w:cs="宋体"/>
          <w:sz w:val="24"/>
        </w:rPr>
        <w:t>实训室</w:t>
      </w:r>
    </w:p>
    <w:p w14:paraId="0FDEACBE">
      <w:pPr>
        <w:ind w:left="560" w:leftChars="200" w:firstLine="0" w:firstLineChars="0"/>
        <w:rPr>
          <w:rFonts w:asciiTheme="minorEastAsia" w:hAnsiTheme="minorEastAsia" w:eastAsiaTheme="minorEastAsia" w:cstheme="minorEastAsia"/>
          <w:sz w:val="21"/>
          <w:szCs w:val="21"/>
        </w:rPr>
      </w:pPr>
      <w:r>
        <w:rPr>
          <w:rFonts w:hint="eastAsia" w:ascii="宋体" w:hAnsi="宋体" w:cs="宋体"/>
          <w:sz w:val="24"/>
        </w:rPr>
        <w:t>对应课程：食品微生物基础、食品微生物检验技术</w:t>
      </w:r>
    </w:p>
    <w:p w14:paraId="64B50479">
      <w:pPr>
        <w:ind w:left="560" w:leftChars="200" w:firstLine="0" w:firstLineChars="0"/>
        <w:rPr>
          <w:sz w:val="24"/>
          <w:szCs w:val="22"/>
        </w:rPr>
      </w:pPr>
      <w:r>
        <w:rPr>
          <w:rFonts w:hint="eastAsia" w:ascii="宋体" w:hAnsi="宋体" w:cs="宋体"/>
          <w:sz w:val="24"/>
        </w:rPr>
        <w:t>主要实训项目：</w:t>
      </w:r>
      <w:r>
        <w:rPr>
          <w:rFonts w:ascii="宋体" w:hAnsi="宋体" w:cs="宋体"/>
          <w:sz w:val="24"/>
        </w:rPr>
        <w:t>微生物基础实验、食品中菌落总数的测定、食品中大肠菌群的测定</w:t>
      </w:r>
      <w:r>
        <w:rPr>
          <w:rFonts w:hint="eastAsia" w:ascii="宋体" w:hAnsi="宋体" w:cs="宋体"/>
          <w:sz w:val="24"/>
        </w:rPr>
        <w:t>、</w:t>
      </w:r>
      <w:r>
        <w:rPr>
          <w:rFonts w:ascii="宋体" w:hAnsi="宋体" w:cs="宋体"/>
          <w:sz w:val="24"/>
        </w:rPr>
        <w:t>食品中</w:t>
      </w:r>
      <w:r>
        <w:rPr>
          <w:rFonts w:hint="eastAsia" w:ascii="宋体" w:hAnsi="宋体" w:cs="宋体"/>
          <w:sz w:val="24"/>
        </w:rPr>
        <w:t>致病菌</w:t>
      </w:r>
      <w:r>
        <w:rPr>
          <w:rFonts w:ascii="宋体" w:hAnsi="宋体" w:cs="宋体"/>
          <w:sz w:val="24"/>
        </w:rPr>
        <w:t>的测定</w:t>
      </w:r>
      <w:r>
        <w:rPr>
          <w:rFonts w:hint="eastAsia" w:ascii="宋体" w:hAnsi="宋体" w:cs="宋体"/>
          <w:sz w:val="24"/>
        </w:rPr>
        <w:t>。</w:t>
      </w:r>
    </w:p>
    <w:p w14:paraId="050790E9">
      <w:pPr>
        <w:ind w:firstLine="480"/>
        <w:rPr>
          <w:sz w:val="24"/>
          <w:szCs w:val="22"/>
        </w:rPr>
      </w:pPr>
      <w:bookmarkStart w:id="114" w:name="_Toc18596"/>
      <w:r>
        <w:rPr>
          <w:rFonts w:hint="eastAsia"/>
          <w:sz w:val="24"/>
          <w:szCs w:val="22"/>
        </w:rPr>
        <w:t>（3）</w:t>
      </w:r>
      <w:bookmarkEnd w:id="114"/>
      <w:r>
        <w:rPr>
          <w:rFonts w:hint="eastAsia" w:ascii="宋体" w:hAnsi="宋体" w:cs="宋体"/>
          <w:sz w:val="24"/>
        </w:rPr>
        <w:t>精密仪器分析</w:t>
      </w:r>
      <w:r>
        <w:rPr>
          <w:rFonts w:ascii="宋体" w:hAnsi="宋体" w:cs="宋体"/>
          <w:sz w:val="24"/>
        </w:rPr>
        <w:t>实训室</w:t>
      </w:r>
    </w:p>
    <w:p w14:paraId="773F3476">
      <w:pPr>
        <w:ind w:left="560" w:leftChars="200" w:firstLine="0" w:firstLineChars="0"/>
        <w:rPr>
          <w:rFonts w:asciiTheme="minorEastAsia" w:hAnsiTheme="minorEastAsia" w:eastAsiaTheme="minorEastAsia" w:cstheme="minorEastAsia"/>
          <w:sz w:val="21"/>
          <w:szCs w:val="21"/>
        </w:rPr>
      </w:pPr>
      <w:r>
        <w:rPr>
          <w:rFonts w:hint="eastAsia" w:ascii="宋体" w:hAnsi="宋体" w:cs="宋体"/>
          <w:sz w:val="24"/>
        </w:rPr>
        <w:t>对应课程：食品仪器分析技术、食品快速检测技术</w:t>
      </w:r>
    </w:p>
    <w:p w14:paraId="3361A2DB">
      <w:pPr>
        <w:ind w:left="560" w:leftChars="200" w:firstLine="0" w:firstLineChars="0"/>
        <w:rPr>
          <w:rFonts w:ascii="宋体" w:hAnsi="宋体" w:cs="宋体"/>
          <w:sz w:val="24"/>
        </w:rPr>
      </w:pPr>
      <w:r>
        <w:rPr>
          <w:rFonts w:hint="eastAsia" w:ascii="宋体" w:hAnsi="宋体" w:cs="宋体"/>
          <w:sz w:val="24"/>
        </w:rPr>
        <w:t>主要实训项目：农药残留检测、兽药残留检测、食品</w:t>
      </w:r>
      <w:r>
        <w:rPr>
          <w:rFonts w:ascii="宋体" w:hAnsi="宋体" w:cs="宋体"/>
          <w:sz w:val="24"/>
        </w:rPr>
        <w:t>添加剂</w:t>
      </w:r>
      <w:r>
        <w:rPr>
          <w:rFonts w:hint="eastAsia" w:ascii="宋体" w:hAnsi="宋体" w:cs="宋体"/>
          <w:sz w:val="24"/>
        </w:rPr>
        <w:t>检测、</w:t>
      </w:r>
      <w:r>
        <w:rPr>
          <w:rFonts w:ascii="宋体" w:hAnsi="宋体" w:cs="宋体"/>
          <w:sz w:val="24"/>
        </w:rPr>
        <w:t>校企合作技术研发，教师科研项目研究等</w:t>
      </w:r>
      <w:r>
        <w:rPr>
          <w:rFonts w:hint="eastAsia" w:ascii="宋体" w:hAnsi="宋体" w:cs="宋体"/>
          <w:sz w:val="24"/>
        </w:rPr>
        <w:t>。</w:t>
      </w:r>
    </w:p>
    <w:p w14:paraId="01F0B8F6">
      <w:pPr>
        <w:ind w:firstLine="480"/>
        <w:rPr>
          <w:sz w:val="24"/>
          <w:szCs w:val="22"/>
        </w:rPr>
      </w:pPr>
      <w:r>
        <w:rPr>
          <w:rFonts w:hint="eastAsia"/>
          <w:sz w:val="24"/>
          <w:szCs w:val="22"/>
        </w:rPr>
        <w:t>（4）食品智能加工综合实训室</w:t>
      </w:r>
    </w:p>
    <w:p w14:paraId="2099854C">
      <w:pPr>
        <w:ind w:left="560" w:leftChars="200" w:firstLine="0" w:firstLineChars="0"/>
        <w:rPr>
          <w:rFonts w:asciiTheme="minorEastAsia" w:hAnsiTheme="minorEastAsia" w:eastAsiaTheme="minorEastAsia" w:cstheme="minorEastAsia"/>
          <w:sz w:val="21"/>
          <w:szCs w:val="21"/>
        </w:rPr>
      </w:pPr>
      <w:r>
        <w:rPr>
          <w:rFonts w:hint="eastAsia" w:ascii="宋体" w:hAnsi="宋体" w:cs="宋体"/>
          <w:sz w:val="24"/>
        </w:rPr>
        <w:t>对应课程：食品加工技术概论</w:t>
      </w:r>
    </w:p>
    <w:p w14:paraId="63DC2DC2">
      <w:pPr>
        <w:ind w:firstLine="480"/>
        <w:rPr>
          <w:rFonts w:ascii="宋体" w:hAnsi="宋体" w:cs="宋体"/>
          <w:sz w:val="24"/>
        </w:rPr>
      </w:pPr>
      <w:r>
        <w:rPr>
          <w:rFonts w:hint="eastAsia" w:ascii="宋体" w:hAnsi="宋体" w:cs="宋体"/>
          <w:sz w:val="24"/>
        </w:rPr>
        <w:t>主要实训项目：</w:t>
      </w:r>
      <w:r>
        <w:rPr>
          <w:rFonts w:hint="eastAsia"/>
          <w:sz w:val="24"/>
          <w:szCs w:val="22"/>
        </w:rPr>
        <w:t>食品贮藏与保鲜、罐头食品加工、饮料食品加工、食品</w:t>
      </w:r>
      <w:r>
        <w:rPr>
          <w:rFonts w:hint="eastAsia" w:ascii="宋体" w:hAnsi="宋体" w:cs="宋体"/>
          <w:sz w:val="24"/>
        </w:rPr>
        <w:t>掺伪鉴别技术</w:t>
      </w:r>
      <w:r>
        <w:rPr>
          <w:rFonts w:hint="eastAsia"/>
          <w:sz w:val="24"/>
          <w:szCs w:val="22"/>
        </w:rPr>
        <w:t>、休闲食品加工。</w:t>
      </w:r>
    </w:p>
    <w:p w14:paraId="3567A1DD">
      <w:pPr>
        <w:ind w:firstLine="480"/>
        <w:rPr>
          <w:sz w:val="24"/>
          <w:szCs w:val="22"/>
        </w:rPr>
      </w:pPr>
      <w:bookmarkStart w:id="115" w:name="_Toc10008"/>
      <w:r>
        <w:rPr>
          <w:rFonts w:hint="eastAsia"/>
          <w:sz w:val="24"/>
          <w:szCs w:val="22"/>
        </w:rPr>
        <w:t>（5）</w:t>
      </w:r>
      <w:r>
        <w:rPr>
          <w:rFonts w:ascii="宋体" w:hAnsi="宋体" w:cs="宋体"/>
          <w:sz w:val="24"/>
        </w:rPr>
        <w:t>营养配餐与评价实训室</w:t>
      </w:r>
      <w:bookmarkEnd w:id="115"/>
    </w:p>
    <w:p w14:paraId="4D0A90B6">
      <w:pPr>
        <w:ind w:firstLine="480"/>
        <w:rPr>
          <w:rFonts w:ascii="宋体" w:hAnsi="宋体" w:cs="宋体"/>
          <w:sz w:val="24"/>
        </w:rPr>
      </w:pPr>
      <w:r>
        <w:rPr>
          <w:rFonts w:hint="eastAsia" w:ascii="宋体" w:hAnsi="宋体" w:cs="宋体"/>
          <w:sz w:val="24"/>
        </w:rPr>
        <w:t>对应课程：食品营养学</w:t>
      </w:r>
      <w:r>
        <w:rPr>
          <w:rFonts w:ascii="宋体" w:hAnsi="宋体" w:cs="宋体"/>
          <w:sz w:val="24"/>
        </w:rPr>
        <w:t>。</w:t>
      </w:r>
    </w:p>
    <w:p w14:paraId="2FFBFC98">
      <w:pPr>
        <w:rPr>
          <w:rFonts w:ascii="宋体" w:hAnsi="宋体" w:cs="宋体"/>
          <w:sz w:val="24"/>
        </w:rPr>
      </w:pPr>
      <w:r>
        <w:rPr>
          <w:rFonts w:hint="eastAsia" w:ascii="宋体" w:hAnsi="宋体" w:cs="宋体"/>
          <w:sz w:val="24"/>
        </w:rPr>
        <w:t>主要实训项目：</w:t>
      </w:r>
      <w:r>
        <w:rPr>
          <w:rFonts w:ascii="宋体" w:hAnsi="宋体" w:cs="宋体"/>
          <w:sz w:val="24"/>
        </w:rPr>
        <w:t>膳食调查与分析、营养配餐与制作、肥胖人群膳食方案设计、糖尿病人群膳食方案设计、社区疾患人群模拟咨询、普通人群运动方案设计等。</w:t>
      </w:r>
    </w:p>
    <w:p w14:paraId="68AC6073">
      <w:pPr>
        <w:numPr>
          <w:ilvl w:val="0"/>
          <w:numId w:val="4"/>
        </w:numPr>
        <w:ind w:left="560" w:leftChars="200" w:firstLine="0" w:firstLineChars="0"/>
        <w:rPr>
          <w:rFonts w:ascii="宋体" w:hAnsi="宋体" w:cs="宋体"/>
          <w:sz w:val="24"/>
        </w:rPr>
      </w:pPr>
      <w:r>
        <w:rPr>
          <w:rFonts w:hint="eastAsia" w:ascii="宋体" w:hAnsi="宋体" w:cs="宋体"/>
          <w:sz w:val="24"/>
        </w:rPr>
        <w:t>面点</w:t>
      </w:r>
      <w:r>
        <w:rPr>
          <w:rFonts w:ascii="宋体" w:hAnsi="宋体" w:cs="宋体"/>
          <w:sz w:val="24"/>
        </w:rPr>
        <w:t>实训室</w:t>
      </w:r>
    </w:p>
    <w:p w14:paraId="6258B79D">
      <w:pPr>
        <w:ind w:firstLine="480"/>
        <w:rPr>
          <w:rFonts w:hint="eastAsia" w:ascii="宋体" w:hAnsi="宋体" w:cs="宋体"/>
          <w:sz w:val="24"/>
        </w:rPr>
      </w:pPr>
      <w:r>
        <w:rPr>
          <w:rFonts w:hint="eastAsia" w:ascii="宋体" w:hAnsi="宋体" w:cs="宋体"/>
          <w:sz w:val="24"/>
        </w:rPr>
        <w:t>对应课程：焙烤食品工艺。</w:t>
      </w:r>
    </w:p>
    <w:p w14:paraId="0D0404EA">
      <w:pPr>
        <w:pStyle w:val="4"/>
        <w:pageBreakBefore w:val="0"/>
        <w:kinsoku/>
        <w:wordWrap/>
        <w:overflowPunct/>
        <w:topLinePunct w:val="0"/>
        <w:autoSpaceDE/>
        <w:autoSpaceDN/>
        <w:bidi w:val="0"/>
        <w:spacing w:line="360" w:lineRule="auto"/>
        <w:ind w:left="0" w:right="0" w:rightChars="0"/>
        <w:rPr>
          <w:rFonts w:hint="eastAsia" w:ascii="宋体" w:hAnsi="宋体" w:cs="宋体"/>
          <w:sz w:val="24"/>
        </w:rPr>
      </w:pPr>
      <w:r>
        <w:rPr>
          <w:rFonts w:hint="eastAsia" w:ascii="宋体" w:hAnsi="宋体" w:cs="宋体"/>
          <w:sz w:val="24"/>
        </w:rPr>
        <w:t>主要实训项目：中西式面点的制作。</w:t>
      </w:r>
    </w:p>
    <w:p w14:paraId="02A2FF6B">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3.校外实训基地基本要求</w:t>
      </w:r>
      <w:bookmarkEnd w:id="112"/>
    </w:p>
    <w:p w14:paraId="6565700F">
      <w:pPr>
        <w:pageBreakBefore w:val="0"/>
        <w:kinsoku/>
        <w:wordWrap/>
        <w:overflowPunct/>
        <w:topLinePunct w:val="0"/>
        <w:autoSpaceDE/>
        <w:autoSpaceDN/>
        <w:bidi w:val="0"/>
        <w:spacing w:line="360" w:lineRule="auto"/>
        <w:ind w:left="0" w:right="0" w:rightChars="0"/>
        <w:rPr>
          <w:rFonts w:hint="eastAsia"/>
          <w:sz w:val="24"/>
          <w:szCs w:val="22"/>
        </w:rPr>
      </w:pPr>
      <w:bookmarkStart w:id="116" w:name="_Toc26267"/>
      <w:r>
        <w:rPr>
          <w:rFonts w:hint="eastAsia"/>
          <w:b w:val="0"/>
          <w:sz w:val="24"/>
          <w:lang w:val="en-US" w:bidi="ar-SA"/>
        </w:rPr>
        <w:t>校外实训基地基本要求为:具有稳定的校外实训基地;能够开展食调查、营养配餐营养咨询与指导、食品质量检测等实践项目的健康管理、食品制造等企业和社区、学校、医院等;基地规模要与实训学生规模相适应，实训设施齐备，实训岗位、实训指导教师确定实训管理及实施规章制度齐全。与专业建立紧密联系的校外实训基地达3个以上</w:t>
      </w:r>
      <w:r>
        <w:rPr>
          <w:rFonts w:hint="eastAsia"/>
          <w:sz w:val="24"/>
          <w:szCs w:val="22"/>
        </w:rPr>
        <w:t>。</w:t>
      </w:r>
      <w:bookmarkEnd w:id="116"/>
    </w:p>
    <w:p w14:paraId="0FAAB004">
      <w:pPr>
        <w:pStyle w:val="4"/>
        <w:pageBreakBefore w:val="0"/>
        <w:kinsoku/>
        <w:wordWrap/>
        <w:overflowPunct/>
        <w:topLinePunct w:val="0"/>
        <w:autoSpaceDE/>
        <w:autoSpaceDN/>
        <w:bidi w:val="0"/>
        <w:spacing w:line="360" w:lineRule="auto"/>
        <w:ind w:left="0" w:right="0" w:rightChars="0"/>
        <w:rPr>
          <w:rFonts w:hint="eastAsia"/>
          <w:sz w:val="24"/>
          <w:szCs w:val="24"/>
        </w:rPr>
      </w:pPr>
      <w:bookmarkStart w:id="117" w:name="_Toc31341"/>
      <w:r>
        <w:rPr>
          <w:rFonts w:hint="eastAsia"/>
          <w:sz w:val="24"/>
          <w:szCs w:val="24"/>
        </w:rPr>
        <w:t>4.学生实习基地基本要求</w:t>
      </w:r>
      <w:bookmarkEnd w:id="117"/>
    </w:p>
    <w:p w14:paraId="0D0BC5CE">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rPr>
        <w:t>学生实习基地基本要求为:具有稳定的校外实习基地;能涵盖食品制造或健康产业的主流技术，可接纳一定规模的学生安排顶岗实习;能够配备相应数量的指导教师对学生实习进行指导和管理;有保证实习生日常工作、学习、生活的规章制度，有安全、保险保障。</w:t>
      </w:r>
    </w:p>
    <w:p w14:paraId="3F101D55">
      <w:pPr>
        <w:pStyle w:val="4"/>
        <w:pageBreakBefore w:val="0"/>
        <w:kinsoku/>
        <w:wordWrap/>
        <w:overflowPunct/>
        <w:topLinePunct w:val="0"/>
        <w:autoSpaceDE/>
        <w:autoSpaceDN/>
        <w:bidi w:val="0"/>
        <w:spacing w:line="360" w:lineRule="auto"/>
        <w:ind w:left="0" w:right="0" w:rightChars="0"/>
        <w:rPr>
          <w:rFonts w:hint="eastAsia"/>
          <w:sz w:val="24"/>
          <w:szCs w:val="24"/>
        </w:rPr>
      </w:pPr>
      <w:bookmarkStart w:id="118" w:name="_Toc852"/>
      <w:r>
        <w:rPr>
          <w:rFonts w:hint="eastAsia"/>
          <w:sz w:val="24"/>
          <w:szCs w:val="24"/>
        </w:rPr>
        <w:t>5.信息网络教学条件</w:t>
      </w:r>
      <w:bookmarkEnd w:id="118"/>
    </w:p>
    <w:p w14:paraId="4CE6DA1F">
      <w:pPr>
        <w:pageBreakBefore w:val="0"/>
        <w:kinsoku/>
        <w:wordWrap/>
        <w:overflowPunct/>
        <w:topLinePunct w:val="0"/>
        <w:autoSpaceDE/>
        <w:autoSpaceDN/>
        <w:bidi w:val="0"/>
        <w:spacing w:line="360" w:lineRule="auto"/>
        <w:ind w:left="0" w:right="0" w:rightChars="0"/>
        <w:rPr>
          <w:rFonts w:hint="eastAsia"/>
          <w:sz w:val="24"/>
          <w:szCs w:val="22"/>
        </w:rPr>
      </w:pPr>
      <w:bookmarkStart w:id="119" w:name="_Toc10656"/>
      <w:r>
        <w:rPr>
          <w:rFonts w:hint="eastAsia"/>
          <w:sz w:val="24"/>
          <w:szCs w:val="22"/>
        </w:rPr>
        <w:t>校园网络</w:t>
      </w:r>
      <w:r>
        <w:rPr>
          <w:rFonts w:hint="eastAsia" w:ascii="Times New Roman" w:hAnsi="Times New Roman" w:eastAsia="宋体" w:cs="Times New Roman"/>
          <w:b w:val="0"/>
          <w:kern w:val="2"/>
          <w:sz w:val="24"/>
          <w:szCs w:val="24"/>
          <w:lang w:val="en-US" w:eastAsia="zh-CN" w:bidi="ar-SA"/>
        </w:rPr>
        <w:t>具有可利用的数字化教学资源库、文献资料、常见问题解答等信息化条件;鼓励教师开发并利用信息化教学资源、教学平台，创新教学方法，引导学生利用信息化教学条件自主学习，提升教学效果。</w:t>
      </w:r>
      <w:r>
        <w:rPr>
          <w:rFonts w:hint="eastAsia"/>
          <w:sz w:val="24"/>
          <w:szCs w:val="22"/>
        </w:rPr>
        <w:t>。</w:t>
      </w:r>
      <w:bookmarkEnd w:id="119"/>
    </w:p>
    <w:p w14:paraId="15806D62">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120" w:name="_Toc4464"/>
      <w:bookmarkStart w:id="121" w:name="_Toc24673"/>
      <w:r>
        <w:rPr>
          <w:rFonts w:hint="eastAsia" w:asciiTheme="minorEastAsia" w:hAnsiTheme="minorEastAsia" w:eastAsiaTheme="minorEastAsia" w:cstheme="minorEastAsia"/>
          <w:sz w:val="28"/>
          <w:szCs w:val="28"/>
          <w:lang w:val="en-US" w:eastAsia="zh-CN"/>
        </w:rPr>
        <w:t>（三）教学资源</w:t>
      </w:r>
      <w:bookmarkEnd w:id="120"/>
      <w:bookmarkEnd w:id="121"/>
    </w:p>
    <w:p w14:paraId="35003773">
      <w:pPr>
        <w:pStyle w:val="4"/>
        <w:pageBreakBefore w:val="0"/>
        <w:kinsoku/>
        <w:wordWrap/>
        <w:overflowPunct/>
        <w:topLinePunct w:val="0"/>
        <w:autoSpaceDE/>
        <w:autoSpaceDN/>
        <w:bidi w:val="0"/>
        <w:spacing w:line="360" w:lineRule="auto"/>
        <w:ind w:left="0" w:right="0" w:rightChars="0"/>
        <w:rPr>
          <w:rFonts w:hint="eastAsia"/>
          <w:sz w:val="24"/>
          <w:szCs w:val="24"/>
        </w:rPr>
      </w:pPr>
      <w:bookmarkStart w:id="122" w:name="_Toc17083"/>
      <w:r>
        <w:rPr>
          <w:rFonts w:hint="eastAsia"/>
          <w:sz w:val="24"/>
          <w:szCs w:val="24"/>
        </w:rPr>
        <w:t>1.教材选用基本要求</w:t>
      </w:r>
      <w:bookmarkEnd w:id="122"/>
    </w:p>
    <w:p w14:paraId="5BD7DB9D">
      <w:pPr>
        <w:pStyle w:val="4"/>
        <w:ind w:firstLine="480"/>
        <w:rPr>
          <w:b w:val="0"/>
          <w:bCs/>
          <w:sz w:val="24"/>
        </w:rPr>
      </w:pPr>
      <w:bookmarkStart w:id="123" w:name="_Toc13522"/>
      <w:r>
        <w:rPr>
          <w:b w:val="0"/>
          <w:bCs/>
          <w:sz w:val="24"/>
        </w:rPr>
        <w:t>选用国家规划教材或教指委、行指委统一规划教材。要求如下：</w:t>
      </w:r>
    </w:p>
    <w:p w14:paraId="009285C9">
      <w:pPr>
        <w:pStyle w:val="4"/>
        <w:numPr>
          <w:ilvl w:val="0"/>
          <w:numId w:val="5"/>
        </w:numPr>
        <w:ind w:firstLine="480"/>
        <w:rPr>
          <w:b w:val="0"/>
          <w:bCs/>
          <w:sz w:val="24"/>
        </w:rPr>
      </w:pPr>
      <w:r>
        <w:rPr>
          <w:b w:val="0"/>
          <w:bCs/>
          <w:sz w:val="24"/>
        </w:rPr>
        <w:t>定位准确，体现教改精神及职教特色；</w:t>
      </w:r>
    </w:p>
    <w:p w14:paraId="11DE53BD">
      <w:pPr>
        <w:pStyle w:val="4"/>
        <w:numPr>
          <w:ilvl w:val="0"/>
          <w:numId w:val="5"/>
        </w:numPr>
        <w:ind w:firstLine="480"/>
        <w:rPr>
          <w:b w:val="0"/>
          <w:bCs/>
          <w:sz w:val="24"/>
        </w:rPr>
      </w:pPr>
      <w:r>
        <w:rPr>
          <w:b w:val="0"/>
          <w:bCs/>
          <w:sz w:val="24"/>
        </w:rPr>
        <w:t>适应行业发展，教材内容与时俱进；</w:t>
      </w:r>
    </w:p>
    <w:p w14:paraId="0A4CEAC4">
      <w:pPr>
        <w:pStyle w:val="4"/>
        <w:numPr>
          <w:ilvl w:val="0"/>
          <w:numId w:val="5"/>
        </w:numPr>
        <w:ind w:firstLine="480"/>
        <w:rPr>
          <w:b w:val="0"/>
          <w:bCs/>
          <w:sz w:val="24"/>
        </w:rPr>
      </w:pPr>
      <w:r>
        <w:rPr>
          <w:b w:val="0"/>
          <w:bCs/>
          <w:sz w:val="24"/>
        </w:rPr>
        <w:t>遵循职教规律，注重科学性、思想性、先进性和适用性；</w:t>
      </w:r>
    </w:p>
    <w:p w14:paraId="62EEE0F3">
      <w:pPr>
        <w:pStyle w:val="4"/>
        <w:numPr>
          <w:ilvl w:val="0"/>
          <w:numId w:val="5"/>
        </w:numPr>
        <w:ind w:firstLine="480"/>
        <w:rPr>
          <w:b w:val="0"/>
          <w:bCs/>
          <w:sz w:val="24"/>
        </w:rPr>
      </w:pPr>
      <w:r>
        <w:rPr>
          <w:b w:val="0"/>
          <w:bCs/>
          <w:sz w:val="24"/>
        </w:rPr>
        <w:t>体现“工学结合”特色，选用实用性和可读性更强的教材；</w:t>
      </w:r>
    </w:p>
    <w:p w14:paraId="4953556D">
      <w:pPr>
        <w:pStyle w:val="4"/>
        <w:numPr>
          <w:ilvl w:val="0"/>
          <w:numId w:val="5"/>
        </w:numPr>
        <w:ind w:firstLine="480"/>
        <w:rPr>
          <w:rFonts w:hint="default"/>
          <w:sz w:val="24"/>
          <w:szCs w:val="22"/>
          <w:lang w:val="en-US" w:eastAsia="zh-CN"/>
        </w:rPr>
      </w:pPr>
      <w:r>
        <w:rPr>
          <w:b w:val="0"/>
          <w:bCs/>
          <w:sz w:val="24"/>
        </w:rPr>
        <w:t>尽可能选用“书网融合”的立体化教材</w:t>
      </w:r>
    </w:p>
    <w:p w14:paraId="6B8F4445">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2.图书文献配备基本要求</w:t>
      </w:r>
      <w:bookmarkEnd w:id="123"/>
    </w:p>
    <w:p w14:paraId="32FF12A5">
      <w:pPr>
        <w:pageBreakBefore w:val="0"/>
        <w:kinsoku/>
        <w:wordWrap/>
        <w:overflowPunct/>
        <w:topLinePunct w:val="0"/>
        <w:autoSpaceDE/>
        <w:autoSpaceDN/>
        <w:bidi w:val="0"/>
        <w:spacing w:line="360" w:lineRule="auto"/>
        <w:ind w:left="0" w:right="0" w:rightChars="0"/>
        <w:rPr>
          <w:rFonts w:hint="default"/>
          <w:sz w:val="24"/>
          <w:szCs w:val="22"/>
          <w:lang w:val="en-US" w:eastAsia="zh-CN"/>
        </w:rPr>
      </w:pPr>
      <w:r>
        <w:rPr>
          <w:b w:val="0"/>
          <w:bCs/>
          <w:sz w:val="24"/>
        </w:rPr>
        <w:t>图书文献配备能满足人才培养、专业建设、教科研等工作的需要。专业类图书文献主要包括：《中华人民共和国食品安全法》、《中华人民共和国食品卫生法》、《保健食品监管法律法规》、《特殊医学用途配方食品系列标准实施指南》、《中国居民膳食营养素参考摄入量速查手册》、《营养标准实用指南》、《中华人民共和国国家标准（GB 2760-2014）：食品安全国家标准 食品添加剂使用标准》、《中国居民膳食指南》、《食品营养强化剂使用标准（GB 14880-2012）》、《辅食营养补充品（GB 22570-2014）》、《运动营养食品通则（GB 24154-2015）》、《孕妇及乳母营养补充食品（GB 31601-2015）》等。及时配置新经济、新技术、新工艺、新材料、新管理方式、新服务方式等相关的图书文献。</w:t>
      </w:r>
    </w:p>
    <w:p w14:paraId="4055D437">
      <w:pPr>
        <w:pStyle w:val="4"/>
        <w:pageBreakBefore w:val="0"/>
        <w:kinsoku/>
        <w:wordWrap/>
        <w:overflowPunct/>
        <w:topLinePunct w:val="0"/>
        <w:autoSpaceDE/>
        <w:autoSpaceDN/>
        <w:bidi w:val="0"/>
        <w:spacing w:line="360" w:lineRule="auto"/>
        <w:ind w:left="0" w:right="0" w:rightChars="0"/>
        <w:rPr>
          <w:rFonts w:hint="eastAsia"/>
          <w:sz w:val="24"/>
          <w:szCs w:val="24"/>
        </w:rPr>
      </w:pPr>
      <w:bookmarkStart w:id="124" w:name="_Toc859"/>
      <w:r>
        <w:rPr>
          <w:rFonts w:hint="eastAsia"/>
          <w:sz w:val="24"/>
          <w:szCs w:val="24"/>
        </w:rPr>
        <w:t>3.数字教学资源配置基本要求</w:t>
      </w:r>
      <w:bookmarkEnd w:id="124"/>
    </w:p>
    <w:p w14:paraId="26DF943E">
      <w:pPr>
        <w:pageBreakBefore w:val="0"/>
        <w:kinsoku/>
        <w:wordWrap/>
        <w:overflowPunct/>
        <w:topLinePunct w:val="0"/>
        <w:autoSpaceDE/>
        <w:autoSpaceDN/>
        <w:bidi w:val="0"/>
        <w:spacing w:line="360" w:lineRule="auto"/>
        <w:ind w:left="0" w:right="0" w:rightChars="0"/>
        <w:rPr>
          <w:rFonts w:hint="eastAsia"/>
          <w:sz w:val="24"/>
          <w:szCs w:val="22"/>
        </w:rPr>
      </w:pPr>
      <w:bookmarkStart w:id="125" w:name="_Toc20004"/>
      <w:r>
        <w:rPr>
          <w:rFonts w:ascii="宋体" w:hAnsi="宋体" w:cs="宋体"/>
          <w:sz w:val="24"/>
        </w:rPr>
        <w:t>建设、配备与本专业有关的音视频素材、教学课件、数字化教学案例库、虚拟仿真软件、数字教材等专业教学资源库，种类丰富、形式多样、使用便捷、动态更新、满足教学</w:t>
      </w:r>
      <w:r>
        <w:rPr>
          <w:rFonts w:hint="eastAsia"/>
          <w:sz w:val="24"/>
          <w:szCs w:val="22"/>
        </w:rPr>
        <w:t>。</w:t>
      </w:r>
      <w:bookmarkEnd w:id="125"/>
    </w:p>
    <w:p w14:paraId="52370EC1">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126" w:name="_Toc14440"/>
      <w:bookmarkStart w:id="127" w:name="_Toc13800"/>
      <w:r>
        <w:rPr>
          <w:rFonts w:hint="eastAsia" w:asciiTheme="minorEastAsia" w:hAnsiTheme="minorEastAsia" w:eastAsiaTheme="minorEastAsia" w:cstheme="minorEastAsia"/>
          <w:sz w:val="28"/>
          <w:szCs w:val="28"/>
          <w:lang w:val="en-US" w:eastAsia="zh-CN"/>
        </w:rPr>
        <w:t>（四）教学方法</w:t>
      </w:r>
      <w:bookmarkEnd w:id="126"/>
      <w:bookmarkEnd w:id="127"/>
    </w:p>
    <w:p w14:paraId="0C1DCBBA">
      <w:pPr>
        <w:ind w:firstLine="480"/>
        <w:rPr>
          <w:rFonts w:ascii="宋体" w:hAnsi="宋体" w:cs="宋体"/>
          <w:bCs/>
          <w:sz w:val="24"/>
          <w:lang w:val="zh-CN" w:bidi="zh-CN"/>
        </w:rPr>
      </w:pPr>
      <w:bookmarkStart w:id="128" w:name="_Hlk166154254"/>
      <w:r>
        <w:rPr>
          <w:rFonts w:ascii="宋体" w:hAnsi="宋体" w:cs="宋体"/>
          <w:bCs/>
          <w:sz w:val="24"/>
          <w:lang w:val="zh-CN" w:bidi="zh-CN"/>
        </w:rPr>
        <w:t>根据课程内容的具体特点，采用灵活多样、多层次的教学方法，包括：</w:t>
      </w:r>
      <w:bookmarkStart w:id="129" w:name="_Toc28302"/>
      <w:bookmarkStart w:id="130" w:name="_Toc3015"/>
    </w:p>
    <w:p w14:paraId="60634E92">
      <w:pPr>
        <w:ind w:firstLine="480"/>
        <w:rPr>
          <w:rFonts w:ascii="宋体" w:hAnsi="宋体" w:cs="宋体"/>
          <w:bCs/>
          <w:sz w:val="24"/>
          <w:lang w:val="zh-CN" w:bidi="zh-CN"/>
        </w:rPr>
      </w:pPr>
      <w:r>
        <w:rPr>
          <w:rFonts w:ascii="宋体" w:hAnsi="宋体" w:cs="宋体"/>
          <w:bCs/>
          <w:sz w:val="24"/>
          <w:lang w:val="zh-CN" w:bidi="zh-CN"/>
        </w:rPr>
        <w:t>1.项目导向、任务驱动教学——以项目、任务有效完成作为教学的目标，课堂教学和实践教学围绕项目任务的解决而展开。</w:t>
      </w:r>
      <w:bookmarkEnd w:id="129"/>
      <w:bookmarkEnd w:id="130"/>
      <w:bookmarkStart w:id="131" w:name="_Toc27061"/>
      <w:bookmarkStart w:id="132" w:name="_Toc22722"/>
    </w:p>
    <w:p w14:paraId="58B90877">
      <w:pPr>
        <w:ind w:firstLine="480"/>
        <w:rPr>
          <w:rFonts w:ascii="宋体" w:hAnsi="宋体" w:cs="宋体"/>
          <w:bCs/>
          <w:sz w:val="24"/>
          <w:lang w:val="zh-CN" w:bidi="zh-CN"/>
        </w:rPr>
      </w:pPr>
      <w:r>
        <w:rPr>
          <w:rFonts w:ascii="宋体" w:hAnsi="宋体" w:cs="宋体"/>
          <w:bCs/>
          <w:sz w:val="24"/>
          <w:lang w:val="zh-CN" w:bidi="zh-CN"/>
        </w:rPr>
        <w:t>2.案例分析教学方法——通过对不同案例情况的分析，讲解典型案例，可以引导学生举一反三，更好地达到以理论指导实践的目的。</w:t>
      </w:r>
      <w:bookmarkEnd w:id="131"/>
      <w:bookmarkEnd w:id="132"/>
      <w:bookmarkStart w:id="133" w:name="_Toc26988"/>
      <w:bookmarkStart w:id="134" w:name="_Toc11133"/>
    </w:p>
    <w:p w14:paraId="37C9328D">
      <w:pPr>
        <w:ind w:firstLine="480"/>
        <w:rPr>
          <w:rFonts w:ascii="宋体" w:hAnsi="宋体" w:cs="宋体"/>
          <w:bCs/>
          <w:sz w:val="24"/>
          <w:lang w:val="zh-CN" w:bidi="zh-CN"/>
        </w:rPr>
      </w:pPr>
      <w:r>
        <w:rPr>
          <w:rFonts w:ascii="宋体" w:hAnsi="宋体" w:cs="宋体"/>
          <w:bCs/>
          <w:sz w:val="24"/>
          <w:lang w:val="zh-CN" w:bidi="zh-CN"/>
        </w:rPr>
        <w:t>3.“教学做一体化”教学法——以学生练习为主体，教师加以适当的引导，提高学生分析问题、解决问题的能力；教师边讲解边指导，师生同步操作，深入剖析解决方案的制定方法与技巧，提高学生的实践技能。</w:t>
      </w:r>
      <w:bookmarkEnd w:id="133"/>
      <w:bookmarkEnd w:id="134"/>
      <w:bookmarkStart w:id="135" w:name="_Toc27661"/>
      <w:bookmarkStart w:id="136" w:name="_Toc15067"/>
    </w:p>
    <w:p w14:paraId="7B47CC56">
      <w:pPr>
        <w:ind w:firstLine="480"/>
        <w:rPr>
          <w:rFonts w:ascii="宋体" w:hAnsi="宋体" w:cs="宋体"/>
          <w:bCs/>
          <w:sz w:val="24"/>
          <w:lang w:bidi="zh-CN"/>
        </w:rPr>
      </w:pPr>
      <w:r>
        <w:rPr>
          <w:rFonts w:ascii="宋体" w:hAnsi="宋体" w:cs="宋体"/>
          <w:bCs/>
          <w:sz w:val="24"/>
          <w:lang w:val="zh-CN" w:bidi="zh-CN"/>
        </w:rPr>
        <w:t>4.情境教学（启发引导的互动教学）——通过教师的逐步深入的设疑，启发学生思考；通过教师给出的不完善的案例，引导学生找出系列不足，做出完善的案例。</w:t>
      </w:r>
      <w:bookmarkEnd w:id="135"/>
      <w:bookmarkEnd w:id="136"/>
      <w:bookmarkStart w:id="137" w:name="_Toc6223"/>
      <w:r>
        <w:rPr>
          <w:rFonts w:hint="eastAsia" w:ascii="宋体" w:hAnsi="宋体" w:cs="宋体"/>
          <w:bCs/>
          <w:sz w:val="24"/>
          <w:lang w:bidi="zh-CN"/>
        </w:rPr>
        <w:t xml:space="preserve">   </w:t>
      </w:r>
    </w:p>
    <w:p w14:paraId="6C93F543">
      <w:pPr>
        <w:ind w:firstLine="480"/>
        <w:rPr>
          <w:rFonts w:ascii="宋体" w:hAnsi="宋体" w:cs="宋体"/>
          <w:bCs/>
          <w:sz w:val="24"/>
          <w:lang w:val="zh-CN" w:bidi="zh-CN"/>
        </w:rPr>
      </w:pPr>
      <w:r>
        <w:rPr>
          <w:rFonts w:ascii="宋体" w:hAnsi="宋体" w:cs="宋体"/>
          <w:bCs/>
          <w:sz w:val="24"/>
          <w:lang w:val="zh-CN" w:bidi="zh-CN"/>
        </w:rPr>
        <w:t>5.角色扮演——通过模拟工作过程的不同角色，培养学生职业素质和职业的交流沟通能力。</w:t>
      </w:r>
      <w:bookmarkEnd w:id="137"/>
      <w:bookmarkStart w:id="138" w:name="_Toc61"/>
      <w:bookmarkStart w:id="139" w:name="_Toc2970"/>
    </w:p>
    <w:p w14:paraId="01705765">
      <w:pPr>
        <w:ind w:firstLine="480"/>
        <w:rPr>
          <w:rFonts w:hint="eastAsia"/>
          <w:sz w:val="24"/>
          <w:szCs w:val="22"/>
          <w:lang w:val="en-US" w:eastAsia="zh-CN"/>
        </w:rPr>
      </w:pPr>
      <w:r>
        <w:rPr>
          <w:rFonts w:ascii="宋体" w:hAnsi="宋体" w:cs="宋体"/>
          <w:bCs/>
          <w:sz w:val="24"/>
          <w:lang w:val="zh-CN" w:bidi="zh-CN"/>
        </w:rPr>
        <w:t>6.模块化教学——运用“宽基础、活模块”教育模式，通过模块课程间灵活合理的搭配，首先培养学生宽泛的基础人文素质、基础从业能力，进而培养其合格的专门职业能力。</w:t>
      </w:r>
      <w:bookmarkEnd w:id="128"/>
      <w:bookmarkEnd w:id="138"/>
      <w:bookmarkEnd w:id="139"/>
    </w:p>
    <w:p w14:paraId="3E251F60">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140" w:name="_Toc18190"/>
      <w:bookmarkStart w:id="141" w:name="_Toc17931"/>
      <w:r>
        <w:rPr>
          <w:rFonts w:hint="eastAsia" w:asciiTheme="minorEastAsia" w:hAnsiTheme="minorEastAsia" w:eastAsiaTheme="minorEastAsia" w:cstheme="minorEastAsia"/>
          <w:sz w:val="28"/>
          <w:szCs w:val="28"/>
          <w:lang w:val="en-US" w:eastAsia="zh-CN"/>
        </w:rPr>
        <w:t>（五）学习评价</w:t>
      </w:r>
      <w:bookmarkEnd w:id="140"/>
      <w:bookmarkEnd w:id="141"/>
    </w:p>
    <w:p w14:paraId="1A6CACB5">
      <w:pPr>
        <w:ind w:firstLine="482"/>
        <w:rPr>
          <w:rFonts w:ascii="宋体" w:hAnsi="宋体" w:cs="宋体"/>
          <w:b/>
          <w:bCs/>
          <w:sz w:val="24"/>
        </w:rPr>
      </w:pPr>
      <w:bookmarkStart w:id="142" w:name="_Hlk166154295"/>
      <w:r>
        <w:rPr>
          <w:rFonts w:ascii="宋体" w:hAnsi="宋体" w:cs="宋体"/>
          <w:b/>
          <w:bCs/>
          <w:sz w:val="24"/>
        </w:rPr>
        <w:t>1.期末考核评价及方式</w:t>
      </w:r>
    </w:p>
    <w:p w14:paraId="6623838F">
      <w:pPr>
        <w:ind w:firstLine="480"/>
        <w:rPr>
          <w:rFonts w:ascii="宋体" w:hAnsi="宋体" w:eastAsia="宋体" w:cs="宋体"/>
          <w:b w:val="0"/>
          <w:bCs w:val="0"/>
          <w:sz w:val="24"/>
          <w:szCs w:val="24"/>
        </w:rPr>
      </w:pPr>
      <w:bookmarkStart w:id="143" w:name="_Toc20667"/>
      <w:bookmarkStart w:id="144" w:name="_Toc26666"/>
      <w:r>
        <w:rPr>
          <w:rFonts w:ascii="宋体" w:hAnsi="宋体" w:cs="宋体"/>
          <w:sz w:val="24"/>
        </w:rPr>
        <w:t>期末考试：试题以实际应用能力考核为主。</w:t>
      </w:r>
      <w:bookmarkEnd w:id="143"/>
      <w:bookmarkEnd w:id="144"/>
    </w:p>
    <w:p w14:paraId="4407B141">
      <w:pPr>
        <w:ind w:firstLine="482"/>
        <w:rPr>
          <w:rFonts w:ascii="宋体" w:hAnsi="宋体" w:cs="宋体"/>
          <w:b/>
          <w:bCs/>
          <w:sz w:val="24"/>
        </w:rPr>
      </w:pPr>
      <w:bookmarkStart w:id="145" w:name="_Toc7852"/>
      <w:bookmarkStart w:id="146" w:name="_Toc21157"/>
      <w:r>
        <w:rPr>
          <w:rFonts w:ascii="宋体" w:hAnsi="宋体" w:cs="宋体"/>
          <w:b/>
          <w:bCs/>
          <w:sz w:val="24"/>
        </w:rPr>
        <w:t>2.教学过程评价</w:t>
      </w:r>
      <w:bookmarkEnd w:id="145"/>
      <w:bookmarkEnd w:id="146"/>
      <w:r>
        <w:rPr>
          <w:rFonts w:ascii="宋体" w:hAnsi="宋体" w:cs="宋体"/>
          <w:b/>
          <w:bCs/>
          <w:sz w:val="24"/>
        </w:rPr>
        <w:t xml:space="preserve"> </w:t>
      </w:r>
    </w:p>
    <w:p w14:paraId="4D007820">
      <w:pPr>
        <w:ind w:firstLine="480"/>
        <w:rPr>
          <w:rFonts w:ascii="宋体" w:hAnsi="宋体" w:cs="宋体"/>
          <w:sz w:val="24"/>
        </w:rPr>
      </w:pPr>
      <w:bookmarkStart w:id="147" w:name="_Toc10784"/>
      <w:bookmarkStart w:id="148" w:name="_Toc23452"/>
      <w:r>
        <w:rPr>
          <w:rFonts w:ascii="宋体" w:hAnsi="宋体" w:cs="宋体"/>
          <w:sz w:val="24"/>
        </w:rPr>
        <w:t>综合实践考核：过程性考核的方式，以课程单元教学内容中可展示的结果和学生完成的任务为依 据进行考核；</w:t>
      </w:r>
      <w:bookmarkEnd w:id="147"/>
      <w:bookmarkEnd w:id="148"/>
      <w:r>
        <w:rPr>
          <w:rFonts w:ascii="宋体" w:hAnsi="宋体" w:cs="宋体"/>
          <w:sz w:val="24"/>
        </w:rPr>
        <w:t xml:space="preserve"> </w:t>
      </w:r>
    </w:p>
    <w:p w14:paraId="26749C97">
      <w:pPr>
        <w:ind w:firstLine="482"/>
        <w:rPr>
          <w:rFonts w:ascii="宋体" w:hAnsi="宋体" w:cs="宋体"/>
          <w:b/>
          <w:bCs/>
          <w:sz w:val="24"/>
        </w:rPr>
      </w:pPr>
      <w:bookmarkStart w:id="149" w:name="_Toc11769"/>
      <w:bookmarkStart w:id="150" w:name="_Toc30556"/>
      <w:r>
        <w:rPr>
          <w:rFonts w:ascii="宋体" w:hAnsi="宋体" w:cs="宋体"/>
          <w:b/>
          <w:bCs/>
          <w:sz w:val="24"/>
        </w:rPr>
        <w:t>3.职业素质考核</w:t>
      </w:r>
      <w:bookmarkEnd w:id="149"/>
      <w:bookmarkEnd w:id="150"/>
    </w:p>
    <w:p w14:paraId="68CD3D6F">
      <w:pPr>
        <w:ind w:firstLine="480"/>
        <w:rPr>
          <w:rFonts w:ascii="宋体" w:hAnsi="宋体" w:cs="宋体"/>
          <w:sz w:val="24"/>
        </w:rPr>
      </w:pPr>
      <w:bookmarkStart w:id="151" w:name="_Toc2895"/>
      <w:bookmarkStart w:id="152" w:name="_Toc25350"/>
      <w:r>
        <w:rPr>
          <w:rFonts w:ascii="宋体" w:hAnsi="宋体" w:cs="宋体"/>
          <w:sz w:val="24"/>
        </w:rPr>
        <w:t>过程性评价的方式，以学生平时的考勤、课堂表现、实训情况和汇报表述与沟通能力进行考核。</w:t>
      </w:r>
      <w:bookmarkEnd w:id="151"/>
      <w:bookmarkEnd w:id="152"/>
    </w:p>
    <w:p w14:paraId="319DEC20">
      <w:pPr>
        <w:ind w:firstLine="482"/>
        <w:rPr>
          <w:rFonts w:ascii="宋体" w:hAnsi="宋体" w:eastAsia="宋体" w:cs="宋体"/>
          <w:sz w:val="24"/>
          <w:szCs w:val="24"/>
        </w:rPr>
      </w:pPr>
      <w:bookmarkStart w:id="153" w:name="_Toc10334"/>
      <w:bookmarkStart w:id="154" w:name="_Toc14452"/>
      <w:r>
        <w:rPr>
          <w:rFonts w:ascii="宋体" w:hAnsi="宋体" w:cs="宋体"/>
          <w:b/>
          <w:bCs/>
          <w:sz w:val="24"/>
        </w:rPr>
        <w:t>4.专业课程成绩形成方式（推荐采用如下的成绩形成方式）</w:t>
      </w:r>
      <w:bookmarkEnd w:id="153"/>
      <w:bookmarkEnd w:id="154"/>
    </w:p>
    <w:p w14:paraId="31216799">
      <w:pPr>
        <w:ind w:firstLine="480"/>
        <w:rPr>
          <w:rFonts w:hint="eastAsia" w:ascii="宋体" w:hAnsi="宋体" w:cs="宋体"/>
          <w:sz w:val="24"/>
        </w:rPr>
      </w:pPr>
      <w:bookmarkStart w:id="155" w:name="_Toc12295"/>
      <w:bookmarkStart w:id="156" w:name="_Toc8764"/>
      <w:r>
        <w:rPr>
          <w:rFonts w:ascii="宋体" w:hAnsi="宋体" w:cs="宋体"/>
          <w:sz w:val="24"/>
        </w:rPr>
        <w:t>总评成绩=期末考试+实践技能考核+职业素质考核=100%</w:t>
      </w:r>
      <w:bookmarkEnd w:id="142"/>
      <w:bookmarkEnd w:id="155"/>
      <w:bookmarkEnd w:id="156"/>
    </w:p>
    <w:p w14:paraId="4F1F54A1">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157" w:name="_Toc3354"/>
      <w:bookmarkStart w:id="158" w:name="_Toc9773"/>
      <w:r>
        <w:rPr>
          <w:rFonts w:hint="eastAsia" w:asciiTheme="minorEastAsia" w:hAnsiTheme="minorEastAsia" w:eastAsiaTheme="minorEastAsia" w:cstheme="minorEastAsia"/>
          <w:sz w:val="28"/>
          <w:szCs w:val="28"/>
          <w:lang w:val="en-US" w:eastAsia="zh-CN"/>
        </w:rPr>
        <w:t>（六）质量管理</w:t>
      </w:r>
      <w:bookmarkEnd w:id="157"/>
      <w:bookmarkEnd w:id="158"/>
    </w:p>
    <w:p w14:paraId="461A75C3">
      <w:pPr>
        <w:ind w:firstLine="480"/>
        <w:rPr>
          <w:rFonts w:ascii="宋体" w:hAnsi="宋体" w:cs="宋体"/>
          <w:sz w:val="24"/>
        </w:rPr>
      </w:pPr>
      <w:r>
        <w:rPr>
          <w:rFonts w:ascii="宋体" w:hAnsi="宋体" w:cs="宋体"/>
          <w:sz w:val="24"/>
        </w:rPr>
        <w:t>1.学校和二级学院建立专业人才培养质量保障机制，健全专业教学质量监控管理制度，改进结果评价，强化过程评价，探索增值评价，健全综合评价。完善人才培养方案、课程标准、课堂评价、实验教学、实习实训、毕业设计以及资源建设等质量标准建设，通过教学实施、过程监控、质量评 价和持续改进，达到人才培养规格要求。</w:t>
      </w:r>
    </w:p>
    <w:p w14:paraId="3583B907">
      <w:pPr>
        <w:ind w:firstLine="480"/>
        <w:rPr>
          <w:rFonts w:ascii="宋体" w:hAnsi="宋体" w:cs="宋体"/>
          <w:sz w:val="24"/>
        </w:rPr>
      </w:pPr>
      <w:r>
        <w:rPr>
          <w:rFonts w:ascii="宋体" w:hAnsi="宋体" w:cs="宋体"/>
          <w:sz w:val="24"/>
        </w:rPr>
        <w:t>2.学校和二级学院完善教学管理机制，加强日常教学组织运行与管理，定期开展课程建设、日常教学、人才培养质量的诊断与改进，建立健全巡课、听课、评教、评学等制度，建立与企业联动的实践教学环节督导制度，严明教学纪律，强化教学组织功能，定期开展公开课、示范课等教研活动。</w:t>
      </w:r>
    </w:p>
    <w:p w14:paraId="0A508454">
      <w:pPr>
        <w:ind w:firstLine="480"/>
        <w:rPr>
          <w:rFonts w:ascii="宋体" w:hAnsi="宋体" w:cs="宋体"/>
          <w:sz w:val="24"/>
        </w:rPr>
      </w:pPr>
      <w:r>
        <w:rPr>
          <w:rFonts w:ascii="宋体" w:hAnsi="宋体" w:cs="宋体"/>
          <w:sz w:val="24"/>
        </w:rPr>
        <w:t>3.专业教研组织建立集中备课制度，定期召开教学研讨会议，利用评价分析结果有效改进专业教学，持续提高人才培养质量。</w:t>
      </w:r>
    </w:p>
    <w:p w14:paraId="3515FB10">
      <w:pPr>
        <w:ind w:firstLine="480"/>
        <w:rPr>
          <w:rFonts w:hint="eastAsia"/>
          <w:sz w:val="24"/>
          <w:szCs w:val="22"/>
        </w:rPr>
      </w:pPr>
      <w:r>
        <w:rPr>
          <w:rFonts w:ascii="宋体" w:hAnsi="宋体" w:cs="宋体"/>
          <w:sz w:val="24"/>
        </w:rPr>
        <w:t>4.学校建立毕业生跟踪反馈机制及社会评价机制，并对生源情况、在校生学业水平、毕业生就 业情况等进行分析，定期评价人才培养质量和培养目标达成情况</w:t>
      </w:r>
      <w:r>
        <w:rPr>
          <w:rFonts w:hint="eastAsia" w:ascii="宋体" w:hAnsi="宋体" w:cs="宋体"/>
          <w:sz w:val="24"/>
        </w:rPr>
        <w:t>。</w:t>
      </w:r>
    </w:p>
    <w:p w14:paraId="5697945D">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159" w:name="_Toc28714"/>
      <w:bookmarkStart w:id="160" w:name="_Toc30871"/>
      <w:r>
        <w:rPr>
          <w:rFonts w:hint="eastAsia" w:asciiTheme="majorEastAsia" w:hAnsiTheme="majorEastAsia" w:eastAsiaTheme="majorEastAsia" w:cstheme="majorEastAsia"/>
          <w:b/>
          <w:bCs/>
          <w:sz w:val="30"/>
          <w:szCs w:val="30"/>
          <w:lang w:val="en-US" w:eastAsia="zh-CN"/>
        </w:rPr>
        <w:t>十一、毕业要求</w:t>
      </w:r>
      <w:bookmarkEnd w:id="159"/>
      <w:bookmarkEnd w:id="160"/>
    </w:p>
    <w:p w14:paraId="187C033F">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本专业学生毕业最低取得</w:t>
      </w:r>
      <w:r>
        <w:rPr>
          <w:rFonts w:hint="eastAsia" w:ascii="宋体" w:hAnsi="宋体" w:cs="宋体"/>
          <w:bCs/>
          <w:color w:val="auto"/>
          <w:sz w:val="24"/>
          <w:lang w:val="en-US" w:eastAsia="zh-CN"/>
        </w:rPr>
        <w:t>140</w:t>
      </w:r>
      <w:r>
        <w:rPr>
          <w:rFonts w:hint="eastAsia" w:ascii="宋体" w:hAnsi="宋体" w:eastAsia="宋体" w:cs="宋体"/>
          <w:bCs/>
          <w:color w:val="auto"/>
          <w:sz w:val="24"/>
        </w:rPr>
        <w:t>学分，其中公共基础课</w:t>
      </w:r>
      <w:r>
        <w:rPr>
          <w:rFonts w:hint="eastAsia" w:ascii="宋体" w:hAnsi="宋体" w:cs="宋体"/>
          <w:bCs/>
          <w:color w:val="auto"/>
          <w:sz w:val="24"/>
          <w:lang w:val="en-US" w:eastAsia="zh-CN"/>
        </w:rPr>
        <w:t>46</w:t>
      </w:r>
      <w:r>
        <w:rPr>
          <w:rFonts w:hint="eastAsia" w:ascii="宋体" w:hAnsi="宋体" w:eastAsia="宋体" w:cs="宋体"/>
          <w:bCs/>
          <w:color w:val="auto"/>
          <w:sz w:val="24"/>
        </w:rPr>
        <w:t>学分，专业课程（包括岗位实习与毕业</w:t>
      </w:r>
      <w:r>
        <w:rPr>
          <w:rFonts w:hint="eastAsia" w:ascii="宋体" w:hAnsi="宋体" w:eastAsia="宋体" w:cs="宋体"/>
          <w:bCs/>
          <w:color w:val="auto"/>
          <w:sz w:val="24"/>
          <w:lang w:val="en-US" w:eastAsia="zh-CN"/>
        </w:rPr>
        <w:t>设计）</w:t>
      </w:r>
      <w:r>
        <w:rPr>
          <w:rFonts w:hint="eastAsia" w:ascii="宋体" w:hAnsi="宋体" w:cs="宋体"/>
          <w:bCs/>
          <w:color w:val="auto"/>
          <w:sz w:val="24"/>
          <w:lang w:val="en-US" w:eastAsia="zh-CN"/>
        </w:rPr>
        <w:t>90</w:t>
      </w:r>
      <w:r>
        <w:rPr>
          <w:rFonts w:hint="eastAsia" w:ascii="宋体" w:hAnsi="宋体" w:eastAsia="宋体" w:cs="宋体"/>
          <w:bCs/>
          <w:color w:val="auto"/>
          <w:sz w:val="24"/>
        </w:rPr>
        <w:t>学分，素质拓展课程</w:t>
      </w:r>
      <w:r>
        <w:rPr>
          <w:rFonts w:hint="eastAsia" w:ascii="宋体" w:hAnsi="宋体" w:cs="宋体"/>
          <w:bCs/>
          <w:color w:val="auto"/>
          <w:sz w:val="24"/>
          <w:lang w:val="en-US" w:eastAsia="zh-CN"/>
        </w:rPr>
        <w:t>4</w:t>
      </w:r>
      <w:r>
        <w:rPr>
          <w:rFonts w:hint="eastAsia" w:ascii="宋体" w:hAnsi="宋体" w:eastAsia="宋体" w:cs="宋体"/>
          <w:bCs/>
          <w:color w:val="auto"/>
          <w:sz w:val="24"/>
        </w:rPr>
        <w:t>学分。</w:t>
      </w:r>
    </w:p>
    <w:p w14:paraId="1ADFF29D">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宋体" w:hAnsi="宋体" w:eastAsia="宋体" w:cs="宋体"/>
          <w:bCs/>
          <w:color w:val="auto"/>
          <w:sz w:val="24"/>
        </w:rPr>
      </w:pPr>
      <w:r>
        <w:rPr>
          <w:rFonts w:hint="eastAsia" w:ascii="宋体" w:hAnsi="宋体" w:eastAsia="宋体" w:cs="宋体"/>
          <w:bCs/>
          <w:color w:val="auto"/>
          <w:sz w:val="24"/>
          <w:lang w:val="en-US" w:eastAsia="zh-CN"/>
        </w:rPr>
        <w:t>2.</w:t>
      </w:r>
      <w:r>
        <w:rPr>
          <w:rFonts w:hint="eastAsia" w:ascii="宋体" w:hAnsi="宋体" w:eastAsia="宋体" w:cs="宋体"/>
          <w:bCs/>
          <w:color w:val="auto"/>
          <w:sz w:val="24"/>
        </w:rPr>
        <w:t>参加规定的毕业实习，提交符合要求的实习鉴定、实习报告并成绩合格。</w:t>
      </w:r>
    </w:p>
    <w:p w14:paraId="4252DD71">
      <w:pPr>
        <w:keepNext w:val="0"/>
        <w:keepLines w:val="0"/>
        <w:widowControl/>
        <w:suppressLineNumbers w:val="0"/>
        <w:jc w:val="left"/>
        <w:rPr>
          <w:rFonts w:hint="eastAsia" w:ascii="宋体" w:hAnsi="宋体" w:eastAsia="宋体" w:cs="宋体"/>
          <w:bCs/>
          <w:color w:val="auto"/>
          <w:sz w:val="24"/>
        </w:rPr>
      </w:pP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鼓励学生取得与专业相应的</w:t>
      </w:r>
      <w:r>
        <w:rPr>
          <w:rFonts w:hint="eastAsia" w:ascii="宋体" w:hAnsi="宋体" w:eastAsia="宋体" w:cs="宋体"/>
          <w:bCs/>
          <w:color w:val="auto"/>
          <w:sz w:val="24"/>
          <w:lang w:val="en-US" w:eastAsia="zh-CN"/>
        </w:rPr>
        <w:t>食品检验管理、粮农食品安全评价</w:t>
      </w:r>
      <w:r>
        <w:rPr>
          <w:rFonts w:hint="eastAsia" w:ascii="宋体" w:hAnsi="宋体" w:eastAsia="宋体" w:cs="宋体"/>
          <w:bCs/>
          <w:color w:val="auto"/>
          <w:sz w:val="24"/>
        </w:rPr>
        <w:t>等职业</w:t>
      </w:r>
      <w:r>
        <w:rPr>
          <w:rFonts w:hint="eastAsia" w:ascii="宋体" w:hAnsi="宋体" w:eastAsia="宋体" w:cs="宋体"/>
          <w:bCs/>
          <w:color w:val="auto"/>
          <w:sz w:val="24"/>
          <w:lang w:val="en-US" w:eastAsia="zh-Hans"/>
        </w:rPr>
        <w:t>技能等级</w:t>
      </w:r>
      <w:r>
        <w:rPr>
          <w:rFonts w:hint="eastAsia" w:ascii="宋体" w:hAnsi="宋体" w:eastAsia="宋体" w:cs="宋体"/>
          <w:bCs/>
          <w:color w:val="auto"/>
          <w:sz w:val="24"/>
        </w:rPr>
        <w:t>证书。</w:t>
      </w:r>
    </w:p>
    <w:p w14:paraId="0C988213">
      <w:pPr>
        <w:pStyle w:val="108"/>
        <w:widowControl/>
        <w:tabs>
          <w:tab w:val="left" w:pos="825"/>
        </w:tabs>
        <w:spacing w:before="81" w:line="360" w:lineRule="auto"/>
        <w:ind w:firstLine="1440" w:firstLineChars="600"/>
        <w:jc w:val="left"/>
        <w:rPr>
          <w:color w:val="000000"/>
          <w:sz w:val="24"/>
        </w:rPr>
      </w:pPr>
    </w:p>
    <w:p w14:paraId="19A1F2E3">
      <w:pPr>
        <w:pStyle w:val="108"/>
        <w:widowControl/>
        <w:tabs>
          <w:tab w:val="left" w:pos="825"/>
        </w:tabs>
        <w:spacing w:before="81" w:line="360" w:lineRule="auto"/>
        <w:ind w:firstLine="1440" w:firstLineChars="600"/>
        <w:jc w:val="left"/>
        <w:rPr>
          <w:color w:val="000000"/>
          <w:sz w:val="24"/>
        </w:rPr>
        <w:sectPr>
          <w:footerReference r:id="rId11" w:type="default"/>
          <w:pgSz w:w="11911" w:h="16838"/>
          <w:pgMar w:top="1417" w:right="1678" w:bottom="1179" w:left="1678" w:header="879" w:footer="998" w:gutter="0"/>
          <w:pgBorders>
            <w:top w:val="none" w:sz="0" w:space="0"/>
            <w:left w:val="none" w:sz="0" w:space="0"/>
            <w:bottom w:val="none" w:sz="0" w:space="0"/>
            <w:right w:val="none" w:sz="0" w:space="0"/>
          </w:pgBorders>
          <w:pgNumType w:fmt="decimal"/>
          <w:cols w:space="0" w:num="1"/>
          <w:rtlGutter w:val="0"/>
          <w:docGrid w:linePitch="312" w:charSpace="0"/>
        </w:sectPr>
      </w:pPr>
    </w:p>
    <w:p w14:paraId="1714AA19">
      <w:pPr>
        <w:spacing w:line="579" w:lineRule="exact"/>
        <w:ind w:firstLine="0" w:firstLineChars="0"/>
        <w:jc w:val="center"/>
        <w:rPr>
          <w:rFonts w:hint="eastAsia" w:ascii="方正小标宋简体" w:hAnsi="方正小标宋简体" w:eastAsia="方正小标宋简体" w:cs="方正小标宋简体"/>
          <w:bCs/>
          <w:color w:val="auto"/>
          <w:sz w:val="44"/>
          <w:szCs w:val="44"/>
          <w:highlight w:val="none"/>
          <w:lang w:val="en-US"/>
        </w:rPr>
      </w:pPr>
      <w:r>
        <w:rPr>
          <w:rFonts w:hint="eastAsia" w:ascii="方正小标宋简体" w:hAnsi="方正小标宋简体" w:eastAsia="方正小标宋简体" w:cs="方正小标宋简体"/>
          <w:bCs/>
          <w:color w:val="auto"/>
          <w:sz w:val="44"/>
          <w:szCs w:val="44"/>
          <w:highlight w:val="none"/>
          <w:lang w:val="en-US" w:eastAsia="zh-CN"/>
        </w:rPr>
        <w:t>食品检验检测技术</w:t>
      </w:r>
      <w:r>
        <w:rPr>
          <w:rFonts w:hint="eastAsia" w:ascii="方正小标宋简体" w:hAnsi="方正小标宋简体" w:eastAsia="方正小标宋简体" w:cs="方正小标宋简体"/>
          <w:bCs/>
          <w:color w:val="auto"/>
          <w:sz w:val="44"/>
          <w:szCs w:val="44"/>
          <w:highlight w:val="none"/>
          <w:lang w:val="en-US"/>
        </w:rPr>
        <w:t>专业人才培养方案论证审核单</w:t>
      </w:r>
    </w:p>
    <w:p w14:paraId="5F9B4534">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t>一、</w:t>
      </w:r>
      <w:r>
        <w:rPr>
          <w:rFonts w:hint="eastAsia" w:eastAsia="黑体" w:cs="Times New Roman"/>
          <w:bCs/>
          <w:color w:val="auto"/>
          <w:kern w:val="0"/>
          <w:sz w:val="32"/>
          <w:szCs w:val="32"/>
          <w:highlight w:val="none"/>
          <w:lang w:val="en-US" w:eastAsia="zh-CN"/>
        </w:rPr>
        <w:t>食品检验检测技术</w:t>
      </w:r>
      <w:r>
        <w:rPr>
          <w:rFonts w:hint="eastAsia" w:ascii="Times New Roman" w:hAnsi="Times New Roman" w:eastAsia="黑体" w:cs="Times New Roman"/>
          <w:bCs/>
          <w:color w:val="auto"/>
          <w:kern w:val="0"/>
          <w:sz w:val="32"/>
          <w:szCs w:val="32"/>
          <w:highlight w:val="none"/>
          <w:lang w:val="en-US" w:eastAsia="zh-CN"/>
        </w:rPr>
        <w:t>专业人才培养方案论证意见</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14:paraId="0649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2" w:hRule="atLeast"/>
        </w:trPr>
        <w:tc>
          <w:tcPr>
            <w:tcW w:w="8771" w:type="dxa"/>
          </w:tcPr>
          <w:p w14:paraId="31DE42DE">
            <w:pPr>
              <w:keepNext w:val="0"/>
              <w:keepLines w:val="0"/>
              <w:pageBreakBefore w:val="0"/>
              <w:widowControl/>
              <w:suppressLineNumbers w:val="0"/>
              <w:shd w:val="clear" w:fill="FFFFFF"/>
              <w:kinsoku/>
              <w:wordWrap/>
              <w:overflowPunct/>
              <w:topLinePunct w:val="0"/>
              <w:bidi w:val="0"/>
              <w:adjustRightInd/>
              <w:snapToGrid/>
              <w:spacing w:beforeAutospacing="0" w:afterAutospacing="0" w:line="360" w:lineRule="auto"/>
              <w:ind w:left="0" w:firstLine="0"/>
              <w:jc w:val="left"/>
              <w:textAlignment w:val="auto"/>
              <w:rPr>
                <w:rFonts w:hint="default" w:ascii="Segoe UI" w:hAnsi="Segoe UI" w:eastAsia="Segoe UI" w:cs="Segoe UI"/>
                <w:i w:val="0"/>
                <w:iCs w:val="0"/>
                <w:caps w:val="0"/>
                <w:color w:val="1F2329"/>
                <w:spacing w:val="0"/>
                <w:kern w:val="0"/>
                <w:sz w:val="24"/>
                <w:szCs w:val="24"/>
                <w:shd w:val="clear" w:color="auto" w:fill="auto"/>
                <w:lang w:val="en-US" w:eastAsia="zh-CN" w:bidi="ar"/>
              </w:rPr>
            </w:pPr>
            <w:r>
              <w:rPr>
                <w:rFonts w:hint="default" w:ascii="Segoe UI" w:hAnsi="Segoe UI" w:eastAsia="Segoe UI" w:cs="Segoe UI"/>
                <w:i w:val="0"/>
                <w:iCs w:val="0"/>
                <w:caps w:val="0"/>
                <w:color w:val="1F2329"/>
                <w:spacing w:val="0"/>
                <w:kern w:val="0"/>
                <w:sz w:val="24"/>
                <w:szCs w:val="24"/>
                <w:shd w:val="clear" w:color="auto" w:fill="auto"/>
                <w:lang w:val="en-US" w:eastAsia="zh-CN" w:bidi="ar"/>
              </w:rPr>
              <w:t>经对食品检验检测技术专业人才培养方案进行系统研讨与论证，专家组从科学性、实践性、前瞻性等维度进行分析，认为该方案整体框架完善、定位明确，但仍存在优化空间，具体论证意见如下：​</w:t>
            </w:r>
          </w:p>
          <w:p w14:paraId="3C47ADFE">
            <w:pPr>
              <w:keepNext w:val="0"/>
              <w:keepLines w:val="0"/>
              <w:pageBreakBefore w:val="0"/>
              <w:widowControl/>
              <w:numPr>
                <w:ilvl w:val="0"/>
                <w:numId w:val="6"/>
              </w:numPr>
              <w:suppressLineNumbers w:val="0"/>
              <w:shd w:val="clear" w:fill="FFFFFF"/>
              <w:kinsoku/>
              <w:wordWrap/>
              <w:overflowPunct/>
              <w:topLinePunct w:val="0"/>
              <w:bidi w:val="0"/>
              <w:adjustRightInd/>
              <w:snapToGrid/>
              <w:spacing w:beforeAutospacing="0" w:afterAutospacing="0" w:line="360" w:lineRule="auto"/>
              <w:ind w:left="0" w:firstLine="0"/>
              <w:jc w:val="left"/>
              <w:textAlignment w:val="auto"/>
              <w:rPr>
                <w:rFonts w:hint="default" w:ascii="Segoe UI" w:hAnsi="Segoe UI" w:eastAsia="Segoe UI" w:cs="Segoe UI"/>
                <w:b/>
                <w:bCs/>
                <w:i w:val="0"/>
                <w:iCs w:val="0"/>
                <w:caps w:val="0"/>
                <w:color w:val="1F2329"/>
                <w:spacing w:val="0"/>
                <w:kern w:val="0"/>
                <w:sz w:val="24"/>
                <w:szCs w:val="24"/>
                <w:shd w:val="clear" w:color="auto" w:fill="auto"/>
                <w:lang w:val="en-US" w:eastAsia="zh-CN" w:bidi="ar"/>
              </w:rPr>
            </w:pPr>
            <w:r>
              <w:rPr>
                <w:rFonts w:hint="default" w:ascii="Segoe UI" w:hAnsi="Segoe UI" w:eastAsia="Segoe UI" w:cs="Segoe UI"/>
                <w:b/>
                <w:bCs/>
                <w:i w:val="0"/>
                <w:iCs w:val="0"/>
                <w:caps w:val="0"/>
                <w:color w:val="1F2329"/>
                <w:spacing w:val="0"/>
                <w:kern w:val="0"/>
                <w:sz w:val="24"/>
                <w:szCs w:val="24"/>
                <w:shd w:val="clear" w:color="auto" w:fill="auto"/>
                <w:lang w:val="en-US" w:eastAsia="zh-CN" w:bidi="ar"/>
              </w:rPr>
              <w:t>方案亮点与优势​</w:t>
            </w:r>
          </w:p>
          <w:p w14:paraId="5C30D107">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firstLine="480" w:firstLineChars="200"/>
              <w:jc w:val="left"/>
              <w:textAlignment w:val="auto"/>
              <w:rPr>
                <w:sz w:val="24"/>
                <w:szCs w:val="24"/>
                <w:shd w:val="clear" w:color="auto" w:fill="auto"/>
              </w:rPr>
            </w:pPr>
            <w:r>
              <w:rPr>
                <w:rFonts w:hint="default" w:ascii="Segoe UI" w:hAnsi="Segoe UI" w:eastAsia="Segoe UI" w:cs="Segoe UI"/>
                <w:b/>
                <w:bCs/>
                <w:i w:val="0"/>
                <w:iCs w:val="0"/>
                <w:caps w:val="0"/>
                <w:color w:val="1F2329"/>
                <w:spacing w:val="0"/>
                <w:sz w:val="24"/>
                <w:szCs w:val="24"/>
                <w:shd w:val="clear" w:color="auto" w:fill="auto"/>
              </w:rPr>
              <w:t>培养目标契合行业需求</w:t>
            </w:r>
            <w:r>
              <w:rPr>
                <w:rFonts w:hint="default" w:ascii="Segoe UI" w:hAnsi="Segoe UI" w:eastAsia="Segoe UI" w:cs="Segoe UI"/>
                <w:i w:val="0"/>
                <w:iCs w:val="0"/>
                <w:caps w:val="0"/>
                <w:color w:val="1F2329"/>
                <w:spacing w:val="0"/>
                <w:sz w:val="24"/>
                <w:szCs w:val="24"/>
                <w:shd w:val="clear" w:color="auto" w:fill="auto"/>
              </w:rPr>
              <w:t>：方案精准对接食品行业对检验检测人才的需求，明确提出培养能在食品生产企业、第三方检测机构、市场监管部门等单位，从事食品质量检验、安全监测、实验室管理等工作的高素质技术技能人才。以当前食品安全事件频发，企业对检测人才需求激增为背景，此定位为行业输送对口人才，符合《“十四五” 国家食品安全规划》中对专业检测人才的要求。​</w:t>
            </w:r>
          </w:p>
          <w:p w14:paraId="3FD33B2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firstLine="480" w:firstLineChars="200"/>
              <w:textAlignment w:val="auto"/>
              <w:rPr>
                <w:sz w:val="24"/>
                <w:szCs w:val="24"/>
                <w:shd w:val="clear" w:color="auto" w:fill="auto"/>
              </w:rPr>
            </w:pPr>
            <w:r>
              <w:rPr>
                <w:rFonts w:hint="default" w:ascii="Segoe UI" w:hAnsi="Segoe UI" w:eastAsia="Segoe UI" w:cs="Segoe UI"/>
                <w:b/>
                <w:bCs/>
                <w:i w:val="0"/>
                <w:iCs w:val="0"/>
                <w:caps w:val="0"/>
                <w:color w:val="1F2329"/>
                <w:spacing w:val="0"/>
                <w:sz w:val="24"/>
                <w:szCs w:val="24"/>
                <w:shd w:val="clear" w:color="auto" w:fill="auto"/>
              </w:rPr>
              <w:t>课程体系设计科学</w:t>
            </w:r>
            <w:r>
              <w:rPr>
                <w:rFonts w:hint="default" w:ascii="Segoe UI" w:hAnsi="Segoe UI" w:eastAsia="Segoe UI" w:cs="Segoe UI"/>
                <w:i w:val="0"/>
                <w:iCs w:val="0"/>
                <w:caps w:val="0"/>
                <w:color w:val="1F2329"/>
                <w:spacing w:val="0"/>
                <w:sz w:val="24"/>
                <w:szCs w:val="24"/>
                <w:shd w:val="clear" w:color="auto" w:fill="auto"/>
              </w:rPr>
              <w:t>：</w:t>
            </w:r>
            <w:r>
              <w:rPr>
                <w:rFonts w:hint="default" w:ascii="Segoe UI" w:hAnsi="Segoe UI" w:eastAsia="Segoe UI" w:cs="Segoe UI"/>
                <w:b w:val="0"/>
                <w:bCs w:val="0"/>
                <w:i w:val="0"/>
                <w:iCs w:val="0"/>
                <w:caps w:val="0"/>
                <w:color w:val="1F2329"/>
                <w:spacing w:val="0"/>
                <w:kern w:val="2"/>
                <w:sz w:val="24"/>
                <w:szCs w:val="24"/>
                <w:shd w:val="clear" w:color="auto" w:fill="auto"/>
                <w:lang w:val="en-US" w:eastAsia="zh-CN" w:bidi="ar-SA"/>
              </w:rPr>
              <w:t>构建了“公共基础+专业基础+核心+拓展+实践”的模块化课程体系。专业核心课程如《食品理化检验》《食品仪器分析》，围绕食品中营养成分、有害物质检测等内容展开，与实际岗位工作任务紧密关联。实践教学占比超 50%，涵盖基础实验、综合性实训、顶岗实习等环节。例如，在《食品微生物检验》课程中，设置食品菌落总数测定、致病菌分离鉴定等实训项目，有效提升学生实操能力。​</w:t>
            </w:r>
          </w:p>
          <w:p w14:paraId="76450E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Autospacing="0" w:afterAutospacing="0" w:line="360" w:lineRule="auto"/>
              <w:ind w:left="0" w:right="0" w:firstLine="0"/>
              <w:jc w:val="left"/>
              <w:textAlignment w:val="auto"/>
              <w:rPr>
                <w:sz w:val="24"/>
                <w:szCs w:val="24"/>
                <w:shd w:val="clear" w:color="auto" w:fill="auto"/>
              </w:rPr>
            </w:pPr>
            <w:r>
              <w:rPr>
                <w:rFonts w:hint="default" w:ascii="Segoe UI" w:hAnsi="Segoe UI" w:eastAsia="Segoe UI" w:cs="Segoe UI"/>
                <w:b/>
                <w:bCs/>
                <w:i w:val="0"/>
                <w:iCs w:val="0"/>
                <w:caps w:val="0"/>
                <w:color w:val="1F2329"/>
                <w:spacing w:val="0"/>
                <w:sz w:val="24"/>
                <w:szCs w:val="24"/>
                <w:shd w:val="clear" w:color="auto" w:fill="auto"/>
              </w:rPr>
              <w:t>教学资源保障有力</w:t>
            </w:r>
            <w:r>
              <w:rPr>
                <w:rFonts w:hint="default" w:ascii="Segoe UI" w:hAnsi="Segoe UI" w:eastAsia="Segoe UI" w:cs="Segoe UI"/>
                <w:i w:val="0"/>
                <w:iCs w:val="0"/>
                <w:caps w:val="0"/>
                <w:color w:val="1F2329"/>
                <w:spacing w:val="0"/>
                <w:sz w:val="24"/>
                <w:szCs w:val="24"/>
                <w:shd w:val="clear" w:color="auto" w:fill="auto"/>
              </w:rPr>
              <w:t>：</w:t>
            </w:r>
            <w:r>
              <w:rPr>
                <w:rFonts w:hint="default" w:ascii="Segoe UI" w:hAnsi="Segoe UI" w:eastAsia="Segoe UI" w:cs="Segoe UI"/>
                <w:b w:val="0"/>
                <w:bCs w:val="0"/>
                <w:i w:val="0"/>
                <w:iCs w:val="0"/>
                <w:caps w:val="0"/>
                <w:color w:val="1F2329"/>
                <w:spacing w:val="0"/>
                <w:kern w:val="2"/>
                <w:sz w:val="24"/>
                <w:szCs w:val="24"/>
                <w:shd w:val="clear" w:color="auto" w:fill="auto"/>
                <w:lang w:val="en-US" w:eastAsia="zh-CN" w:bidi="ar-SA"/>
              </w:rPr>
              <w:t>校内配备气相色谱仪、高效液相色谱仪等先进设备，建成食品理化检测、微生物检测等专业实验室，能满足学生日常实验需求。校外与</w:t>
            </w:r>
            <w:r>
              <w:rPr>
                <w:rFonts w:hint="default" w:ascii="Segoe UI" w:hAnsi="Segoe UI" w:eastAsia="Segoe UI" w:cs="Segoe UI"/>
                <w:b w:val="0"/>
                <w:bCs w:val="0"/>
                <w:i w:val="0"/>
                <w:iCs w:val="0"/>
                <w:caps w:val="0"/>
                <w:color w:val="1F2329"/>
                <w:spacing w:val="0"/>
                <w:kern w:val="2"/>
                <w:sz w:val="24"/>
                <w:szCs w:val="24"/>
                <w:shd w:val="clear" w:color="auto" w:fill="auto"/>
                <w:lang w:val="en-US" w:eastAsia="zh-CN" w:bidi="ar-SA"/>
              </w:rPr>
              <w:fldChar w:fldCharType="begin"/>
            </w:r>
            <w:r>
              <w:rPr>
                <w:rFonts w:hint="default" w:ascii="Segoe UI" w:hAnsi="Segoe UI" w:eastAsia="Segoe UI" w:cs="Segoe UI"/>
                <w:b w:val="0"/>
                <w:bCs w:val="0"/>
                <w:i w:val="0"/>
                <w:iCs w:val="0"/>
                <w:caps w:val="0"/>
                <w:color w:val="1F2329"/>
                <w:spacing w:val="0"/>
                <w:kern w:val="2"/>
                <w:sz w:val="24"/>
                <w:szCs w:val="24"/>
                <w:shd w:val="clear" w:color="auto" w:fill="auto"/>
                <w:lang w:val="en-US" w:eastAsia="zh-CN" w:bidi="ar-SA"/>
              </w:rPr>
              <w:instrText xml:space="preserve"> HYPERLINK "http://www.springsnowfood.cn/" \t "https://cn.bing.com/_blank" </w:instrText>
            </w:r>
            <w:r>
              <w:rPr>
                <w:rFonts w:hint="default" w:ascii="Segoe UI" w:hAnsi="Segoe UI" w:eastAsia="Segoe UI" w:cs="Segoe UI"/>
                <w:b w:val="0"/>
                <w:bCs w:val="0"/>
                <w:i w:val="0"/>
                <w:iCs w:val="0"/>
                <w:caps w:val="0"/>
                <w:color w:val="1F2329"/>
                <w:spacing w:val="0"/>
                <w:kern w:val="2"/>
                <w:sz w:val="24"/>
                <w:szCs w:val="24"/>
                <w:shd w:val="clear" w:color="auto" w:fill="auto"/>
                <w:lang w:val="en-US" w:eastAsia="zh-CN" w:bidi="ar-SA"/>
              </w:rPr>
              <w:fldChar w:fldCharType="separate"/>
            </w:r>
            <w:r>
              <w:rPr>
                <w:rFonts w:hint="default" w:ascii="Segoe UI" w:hAnsi="Segoe UI" w:eastAsia="Segoe UI" w:cs="Segoe UI"/>
                <w:b w:val="0"/>
                <w:bCs w:val="0"/>
                <w:i w:val="0"/>
                <w:iCs w:val="0"/>
                <w:caps w:val="0"/>
                <w:color w:val="1F2329"/>
                <w:spacing w:val="0"/>
                <w:kern w:val="2"/>
                <w:sz w:val="24"/>
                <w:szCs w:val="24"/>
                <w:shd w:val="clear" w:color="auto" w:fill="auto"/>
                <w:lang w:val="en-US" w:eastAsia="zh-CN" w:bidi="ar-SA"/>
              </w:rPr>
              <w:t>春雪食品集团股份有限公司</w:t>
            </w:r>
            <w:r>
              <w:rPr>
                <w:rFonts w:hint="default" w:ascii="Segoe UI" w:hAnsi="Segoe UI" w:eastAsia="Segoe UI" w:cs="Segoe UI"/>
                <w:b w:val="0"/>
                <w:bCs w:val="0"/>
                <w:i w:val="0"/>
                <w:iCs w:val="0"/>
                <w:caps w:val="0"/>
                <w:color w:val="1F2329"/>
                <w:spacing w:val="0"/>
                <w:kern w:val="2"/>
                <w:sz w:val="24"/>
                <w:szCs w:val="24"/>
                <w:shd w:val="clear" w:color="auto" w:fill="auto"/>
                <w:lang w:val="en-US" w:eastAsia="zh-CN" w:bidi="ar-SA"/>
              </w:rPr>
              <w:fldChar w:fldCharType="end"/>
            </w:r>
            <w:r>
              <w:rPr>
                <w:rFonts w:hint="default" w:ascii="Segoe UI" w:hAnsi="Segoe UI" w:eastAsia="Segoe UI" w:cs="Segoe UI"/>
                <w:b w:val="0"/>
                <w:bCs w:val="0"/>
                <w:i w:val="0"/>
                <w:iCs w:val="0"/>
                <w:caps w:val="0"/>
                <w:color w:val="1F2329"/>
                <w:spacing w:val="0"/>
                <w:kern w:val="2"/>
                <w:sz w:val="24"/>
                <w:szCs w:val="24"/>
                <w:shd w:val="clear" w:color="auto" w:fill="auto"/>
                <w:lang w:val="en-US" w:eastAsia="zh-CN" w:bidi="ar-SA"/>
              </w:rPr>
              <w:t>、第三方检测公司等20余家企业合作，建立稳定实习基地，为学生提供真实工作场景实践机会。师资方面，计划通过</w:t>
            </w:r>
            <w:r>
              <w:rPr>
                <w:rFonts w:hint="eastAsia" w:ascii="Segoe UI" w:hAnsi="Segoe UI" w:eastAsia="Segoe UI" w:cs="Segoe UI"/>
                <w:b w:val="0"/>
                <w:bCs w:val="0"/>
                <w:i w:val="0"/>
                <w:iCs w:val="0"/>
                <w:caps w:val="0"/>
                <w:color w:val="1F2329"/>
                <w:spacing w:val="0"/>
                <w:kern w:val="2"/>
                <w:sz w:val="24"/>
                <w:szCs w:val="24"/>
                <w:shd w:val="clear" w:color="auto" w:fill="auto"/>
                <w:lang w:val="en-US" w:eastAsia="zh-CN" w:bidi="ar-SA"/>
              </w:rPr>
              <w:t>“</w:t>
            </w:r>
            <w:r>
              <w:rPr>
                <w:rFonts w:hint="default" w:ascii="Segoe UI" w:hAnsi="Segoe UI" w:eastAsia="Segoe UI" w:cs="Segoe UI"/>
                <w:b w:val="0"/>
                <w:bCs w:val="0"/>
                <w:i w:val="0"/>
                <w:iCs w:val="0"/>
                <w:caps w:val="0"/>
                <w:color w:val="1F2329"/>
                <w:spacing w:val="0"/>
                <w:kern w:val="2"/>
                <w:sz w:val="24"/>
                <w:szCs w:val="24"/>
                <w:shd w:val="clear" w:color="auto" w:fill="auto"/>
                <w:lang w:val="en-US" w:eastAsia="zh-CN" w:bidi="ar-SA"/>
              </w:rPr>
              <w:t>内培外引</w:t>
            </w:r>
            <w:r>
              <w:rPr>
                <w:rFonts w:hint="eastAsia" w:ascii="Segoe UI" w:hAnsi="Segoe UI" w:eastAsia="Segoe UI" w:cs="Segoe UI"/>
                <w:b w:val="0"/>
                <w:bCs w:val="0"/>
                <w:i w:val="0"/>
                <w:iCs w:val="0"/>
                <w:caps w:val="0"/>
                <w:color w:val="1F2329"/>
                <w:spacing w:val="0"/>
                <w:kern w:val="2"/>
                <w:sz w:val="24"/>
                <w:szCs w:val="24"/>
                <w:shd w:val="clear" w:color="auto" w:fill="auto"/>
                <w:lang w:val="en-US" w:eastAsia="zh-CN" w:bidi="ar-SA"/>
              </w:rPr>
              <w:t>”</w:t>
            </w:r>
            <w:r>
              <w:rPr>
                <w:rFonts w:hint="default" w:ascii="Segoe UI" w:hAnsi="Segoe UI" w:eastAsia="Segoe UI" w:cs="Segoe UI"/>
                <w:b w:val="0"/>
                <w:bCs w:val="0"/>
                <w:i w:val="0"/>
                <w:iCs w:val="0"/>
                <w:caps w:val="0"/>
                <w:color w:val="1F2329"/>
                <w:spacing w:val="0"/>
                <w:kern w:val="2"/>
                <w:sz w:val="24"/>
                <w:szCs w:val="24"/>
                <w:shd w:val="clear" w:color="auto" w:fill="auto"/>
                <w:lang w:val="en-US" w:eastAsia="zh-CN" w:bidi="ar-SA"/>
              </w:rPr>
              <w:t>，每年选派教师参加行业培训，引进企业技术骨干担任兼职教师，优化师资结构。​</w:t>
            </w:r>
          </w:p>
          <w:p w14:paraId="4ECCA59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firstLine="480" w:firstLineChars="200"/>
              <w:textAlignment w:val="auto"/>
              <w:rPr>
                <w:sz w:val="24"/>
                <w:szCs w:val="24"/>
                <w:shd w:val="clear" w:color="auto" w:fill="auto"/>
              </w:rPr>
            </w:pPr>
            <w:r>
              <w:rPr>
                <w:rFonts w:hint="default" w:ascii="Segoe UI" w:hAnsi="Segoe UI" w:eastAsia="Segoe UI" w:cs="Segoe UI"/>
                <w:b/>
                <w:bCs/>
                <w:i w:val="0"/>
                <w:iCs w:val="0"/>
                <w:caps w:val="0"/>
                <w:color w:val="1F2329"/>
                <w:spacing w:val="0"/>
                <w:sz w:val="24"/>
                <w:szCs w:val="24"/>
                <w:shd w:val="clear" w:color="auto" w:fill="auto"/>
              </w:rPr>
              <w:t>评价体系多元创新</w:t>
            </w:r>
            <w:r>
              <w:rPr>
                <w:rFonts w:hint="default" w:ascii="Segoe UI" w:hAnsi="Segoe UI" w:eastAsia="Segoe UI" w:cs="Segoe UI"/>
                <w:i w:val="0"/>
                <w:iCs w:val="0"/>
                <w:caps w:val="0"/>
                <w:color w:val="1F2329"/>
                <w:spacing w:val="0"/>
                <w:sz w:val="24"/>
                <w:szCs w:val="24"/>
                <w:shd w:val="clear" w:color="auto" w:fill="auto"/>
              </w:rPr>
              <w:t>：采用过程性与终结性、理论与实践、校内与企业评价相结合的方式。如在《食品仪器分析》课程考核中，过程性评价占比40%，涵盖实验操作规范性、数据处理能力等；终结性评价占比60%，通过理论考试和综合项目考核，全面评估学生学习成果。​</w:t>
            </w:r>
          </w:p>
          <w:p w14:paraId="5DBBF8F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Segoe UI" w:hAnsi="Segoe UI" w:eastAsia="Segoe UI" w:cs="Segoe UI"/>
                <w:i w:val="0"/>
                <w:iCs w:val="0"/>
                <w:caps w:val="0"/>
                <w:color w:val="1F2329"/>
                <w:spacing w:val="0"/>
                <w:sz w:val="24"/>
                <w:szCs w:val="24"/>
                <w:shd w:val="clear" w:color="auto" w:fill="auto"/>
              </w:rPr>
            </w:pPr>
            <w:r>
              <w:rPr>
                <w:rFonts w:hint="default" w:ascii="Segoe UI" w:hAnsi="Segoe UI" w:eastAsia="Segoe UI" w:cs="Segoe UI"/>
                <w:b/>
                <w:bCs/>
                <w:i w:val="0"/>
                <w:iCs w:val="0"/>
                <w:caps w:val="0"/>
                <w:color w:val="1F2329"/>
                <w:spacing w:val="0"/>
                <w:kern w:val="0"/>
                <w:sz w:val="24"/>
                <w:szCs w:val="24"/>
                <w:shd w:val="clear" w:color="auto" w:fill="auto"/>
                <w:lang w:val="en-US" w:eastAsia="zh-CN" w:bidi="ar"/>
              </w:rPr>
              <w:t>二、存在问题与建议</w:t>
            </w:r>
            <w:r>
              <w:rPr>
                <w:rFonts w:hint="default" w:ascii="Segoe UI" w:hAnsi="Segoe UI" w:eastAsia="Segoe UI" w:cs="Segoe UI"/>
                <w:i w:val="0"/>
                <w:iCs w:val="0"/>
                <w:caps w:val="0"/>
                <w:color w:val="1F2329"/>
                <w:spacing w:val="0"/>
                <w:kern w:val="0"/>
                <w:sz w:val="24"/>
                <w:szCs w:val="24"/>
                <w:shd w:val="clear" w:color="auto" w:fill="auto"/>
                <w:lang w:val="en-US" w:eastAsia="zh-CN" w:bidi="ar"/>
              </w:rPr>
              <w:t>​</w:t>
            </w:r>
          </w:p>
          <w:p w14:paraId="15DFB5E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firstLine="480" w:firstLineChars="200"/>
              <w:textAlignment w:val="auto"/>
              <w:rPr>
                <w:sz w:val="24"/>
                <w:szCs w:val="24"/>
                <w:shd w:val="clear" w:color="auto" w:fill="auto"/>
              </w:rPr>
            </w:pPr>
            <w:r>
              <w:rPr>
                <w:rFonts w:hint="default" w:ascii="Segoe UI" w:hAnsi="Segoe UI" w:eastAsia="Segoe UI" w:cs="Segoe UI"/>
                <w:b/>
                <w:bCs/>
                <w:i w:val="0"/>
                <w:iCs w:val="0"/>
                <w:caps w:val="0"/>
                <w:color w:val="1F2329"/>
                <w:spacing w:val="0"/>
                <w:sz w:val="24"/>
                <w:szCs w:val="24"/>
                <w:shd w:val="clear" w:color="auto" w:fill="auto"/>
              </w:rPr>
              <w:t>课程内容与行业发展存在滞后</w:t>
            </w:r>
            <w:r>
              <w:rPr>
                <w:rFonts w:hint="default" w:ascii="Segoe UI" w:hAnsi="Segoe UI" w:eastAsia="Segoe UI" w:cs="Segoe UI"/>
                <w:i w:val="0"/>
                <w:iCs w:val="0"/>
                <w:caps w:val="0"/>
                <w:color w:val="1F2329"/>
                <w:spacing w:val="0"/>
                <w:sz w:val="24"/>
                <w:szCs w:val="24"/>
                <w:shd w:val="clear" w:color="auto" w:fill="auto"/>
              </w:rPr>
              <w:t>：当前食品快检技术如免疫层析技术、生物传感器技术发展迅速，但课程中相关内容较少；食品安全法规标准更新频繁，如《食品中农药最大残留限量》标准修订，方案未及时将新标准融入教学。建议每学期组织教师参与行业研讨会，每两年修订一次课程标准，将新技术、新法规融入教材与教学。</w:t>
            </w:r>
            <w:r>
              <w:rPr>
                <w:rFonts w:hint="default" w:ascii="Segoe UI" w:hAnsi="Segoe UI" w:eastAsia="Segoe UI" w:cs="Segoe UI"/>
                <w:b/>
                <w:bCs/>
                <w:i w:val="0"/>
                <w:iCs w:val="0"/>
                <w:caps w:val="0"/>
                <w:color w:val="1F2329"/>
                <w:spacing w:val="0"/>
                <w:sz w:val="24"/>
                <w:szCs w:val="24"/>
                <w:shd w:val="clear" w:color="auto" w:fill="auto"/>
              </w:rPr>
              <w:t>创新创业教育融合深度不足</w:t>
            </w:r>
            <w:r>
              <w:rPr>
                <w:rFonts w:hint="default" w:ascii="Segoe UI" w:hAnsi="Segoe UI" w:eastAsia="Segoe UI" w:cs="Segoe UI"/>
                <w:i w:val="0"/>
                <w:iCs w:val="0"/>
                <w:caps w:val="0"/>
                <w:color w:val="1F2329"/>
                <w:spacing w:val="0"/>
                <w:sz w:val="24"/>
                <w:szCs w:val="24"/>
                <w:shd w:val="clear" w:color="auto" w:fill="auto"/>
              </w:rPr>
              <w:t>：虽开设《创新创业基础》课程，但在专业课程中缺乏创新创业案例与项目。例如在《食品新产品开发》课程中，未引导学生从市场需求出发进行产品创新设计。应在专业课程中增设创新项目模块，鼓励学生参与</w:t>
            </w:r>
            <w:r>
              <w:rPr>
                <w:rFonts w:hint="eastAsia" w:ascii="Segoe UI" w:hAnsi="Segoe UI" w:eastAsia="宋体" w:cs="Segoe UI"/>
                <w:i w:val="0"/>
                <w:iCs w:val="0"/>
                <w:caps w:val="0"/>
                <w:color w:val="1F2329"/>
                <w:spacing w:val="0"/>
                <w:sz w:val="24"/>
                <w:szCs w:val="24"/>
                <w:shd w:val="clear" w:color="auto" w:fill="auto"/>
                <w:lang w:eastAsia="zh-CN"/>
              </w:rPr>
              <w:t>“</w:t>
            </w:r>
            <w:r>
              <w:rPr>
                <w:rFonts w:hint="default" w:ascii="Segoe UI" w:hAnsi="Segoe UI" w:eastAsia="Segoe UI" w:cs="Segoe UI"/>
                <w:i w:val="0"/>
                <w:iCs w:val="0"/>
                <w:caps w:val="0"/>
                <w:color w:val="1F2329"/>
                <w:spacing w:val="0"/>
                <w:sz w:val="24"/>
                <w:szCs w:val="24"/>
                <w:shd w:val="clear" w:color="auto" w:fill="auto"/>
              </w:rPr>
              <w:t>互联网+</w:t>
            </w:r>
            <w:r>
              <w:rPr>
                <w:rFonts w:hint="eastAsia" w:ascii="Segoe UI" w:hAnsi="Segoe UI" w:eastAsia="宋体" w:cs="Segoe UI"/>
                <w:i w:val="0"/>
                <w:iCs w:val="0"/>
                <w:caps w:val="0"/>
                <w:color w:val="1F2329"/>
                <w:spacing w:val="0"/>
                <w:sz w:val="24"/>
                <w:szCs w:val="24"/>
                <w:shd w:val="clear" w:color="auto" w:fill="auto"/>
                <w:lang w:eastAsia="zh-CN"/>
              </w:rPr>
              <w:t>”</w:t>
            </w:r>
            <w:r>
              <w:rPr>
                <w:rFonts w:hint="default" w:ascii="Segoe UI" w:hAnsi="Segoe UI" w:eastAsia="Segoe UI" w:cs="Segoe UI"/>
                <w:i w:val="0"/>
                <w:iCs w:val="0"/>
                <w:caps w:val="0"/>
                <w:color w:val="1F2329"/>
                <w:spacing w:val="0"/>
                <w:sz w:val="24"/>
                <w:szCs w:val="24"/>
                <w:shd w:val="clear" w:color="auto" w:fill="auto"/>
              </w:rPr>
              <w:t>大学生创新创业大赛，培育创业项目。​</w:t>
            </w:r>
          </w:p>
          <w:p w14:paraId="6E8C624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Segoe UI" w:hAnsi="Segoe UI" w:eastAsia="Segoe UI" w:cs="Segoe UI"/>
                <w:i w:val="0"/>
                <w:iCs w:val="0"/>
                <w:caps w:val="0"/>
                <w:color w:val="1F2329"/>
                <w:spacing w:val="0"/>
                <w:sz w:val="24"/>
                <w:szCs w:val="24"/>
                <w:shd w:val="clear" w:color="auto" w:fill="auto"/>
              </w:rPr>
            </w:pPr>
            <w:r>
              <w:rPr>
                <w:rFonts w:hint="default" w:ascii="Segoe UI" w:hAnsi="Segoe UI" w:eastAsia="Segoe UI" w:cs="Segoe UI"/>
                <w:b/>
                <w:bCs/>
                <w:i w:val="0"/>
                <w:iCs w:val="0"/>
                <w:caps w:val="0"/>
                <w:color w:val="1F2329"/>
                <w:spacing w:val="0"/>
                <w:sz w:val="24"/>
                <w:szCs w:val="24"/>
                <w:shd w:val="clear" w:color="auto" w:fill="auto"/>
              </w:rPr>
              <w:t>实践教学管理机制待完善</w:t>
            </w:r>
            <w:r>
              <w:rPr>
                <w:rFonts w:hint="default" w:ascii="Segoe UI" w:hAnsi="Segoe UI" w:eastAsia="Segoe UI" w:cs="Segoe UI"/>
                <w:i w:val="0"/>
                <w:iCs w:val="0"/>
                <w:caps w:val="0"/>
                <w:color w:val="1F2329"/>
                <w:spacing w:val="0"/>
                <w:sz w:val="24"/>
                <w:szCs w:val="24"/>
                <w:shd w:val="clear" w:color="auto" w:fill="auto"/>
              </w:rPr>
              <w:t>：部分实训项目存在考核标准模糊问题，如食品感官评定实训，缺乏量化评分细则；校外实习过程监控不足，企业反馈机制不健全。需制定详细实践教学质量标准，建立校企联合实习管理平台，实时跟踪学生实习情况。</w:t>
            </w:r>
          </w:p>
          <w:p w14:paraId="279BEC5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auto"/>
              <w:ind w:firstLine="480" w:firstLineChars="200"/>
              <w:textAlignment w:val="auto"/>
              <w:rPr>
                <w:sz w:val="24"/>
                <w:szCs w:val="24"/>
                <w:shd w:val="clear" w:color="auto" w:fill="auto"/>
              </w:rPr>
            </w:pPr>
            <w:r>
              <w:rPr>
                <w:rFonts w:hint="default" w:ascii="Segoe UI" w:hAnsi="Segoe UI" w:eastAsia="Segoe UI" w:cs="Segoe UI"/>
                <w:b/>
                <w:bCs/>
                <w:i w:val="0"/>
                <w:iCs w:val="0"/>
                <w:caps w:val="0"/>
                <w:color w:val="1F2329"/>
                <w:spacing w:val="0"/>
                <w:sz w:val="24"/>
                <w:szCs w:val="24"/>
                <w:shd w:val="clear" w:color="auto" w:fill="auto"/>
              </w:rPr>
              <w:t>职业素养培养体系不健全</w:t>
            </w:r>
            <w:r>
              <w:rPr>
                <w:rFonts w:hint="default" w:ascii="Segoe UI" w:hAnsi="Segoe UI" w:eastAsia="Segoe UI" w:cs="Segoe UI"/>
                <w:i w:val="0"/>
                <w:iCs w:val="0"/>
                <w:caps w:val="0"/>
                <w:color w:val="1F2329"/>
                <w:spacing w:val="0"/>
                <w:sz w:val="24"/>
                <w:szCs w:val="24"/>
                <w:shd w:val="clear" w:color="auto" w:fill="auto"/>
              </w:rPr>
              <w:t>：职业素养培养缺乏系统性，仅通过课程渗透和实习培养不够。建议开设《食品行业职业道德》《实验室安全与伦理》等专门课程，通过案例分析、模拟法庭等活动，强化学生责任意识和安全意识。同时，组织学生参与食品检测志愿服务，提升社会责任感。​</w:t>
            </w:r>
          </w:p>
          <w:p w14:paraId="74DB1876">
            <w:pPr>
              <w:keepNext w:val="0"/>
              <w:keepLines w:val="0"/>
              <w:pageBreakBefore w:val="0"/>
              <w:widowControl/>
              <w:suppressLineNumbers w:val="0"/>
              <w:shd w:val="clear" w:fill="FFFFFF"/>
              <w:kinsoku/>
              <w:wordWrap/>
              <w:overflowPunct/>
              <w:topLinePunct w:val="0"/>
              <w:bidi w:val="0"/>
              <w:adjustRightInd/>
              <w:snapToGrid/>
              <w:spacing w:beforeAutospacing="0" w:afterAutospacing="0" w:line="360" w:lineRule="auto"/>
              <w:ind w:left="0" w:firstLine="0"/>
              <w:jc w:val="left"/>
              <w:textAlignment w:val="auto"/>
              <w:rPr>
                <w:rFonts w:hint="default" w:ascii="Segoe UI" w:hAnsi="Segoe UI" w:eastAsia="Segoe UI" w:cs="Segoe UI"/>
                <w:i w:val="0"/>
                <w:iCs w:val="0"/>
                <w:caps w:val="0"/>
                <w:color w:val="1F2329"/>
                <w:spacing w:val="0"/>
                <w:sz w:val="24"/>
                <w:szCs w:val="24"/>
                <w:shd w:val="clear" w:color="auto" w:fill="auto"/>
              </w:rPr>
            </w:pPr>
            <w:r>
              <w:rPr>
                <w:rFonts w:hint="default" w:ascii="Segoe UI" w:hAnsi="Segoe UI" w:eastAsia="Segoe UI" w:cs="Segoe UI"/>
                <w:i w:val="0"/>
                <w:iCs w:val="0"/>
                <w:caps w:val="0"/>
                <w:color w:val="1F2329"/>
                <w:spacing w:val="0"/>
                <w:kern w:val="0"/>
                <w:sz w:val="24"/>
                <w:szCs w:val="24"/>
                <w:shd w:val="clear" w:color="auto" w:fill="auto"/>
                <w:lang w:val="en-US" w:eastAsia="zh-CN" w:bidi="ar"/>
              </w:rPr>
              <w:t>综上所述，该人才培养方案具备良好基础，若能在上述方面加以改进，将更有利于为食品行业培养出适应新时代需求的高素质检验检测技术人才。</w:t>
            </w:r>
          </w:p>
          <w:p w14:paraId="05A29386">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326F70BE">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2B490ABB">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226F3E45">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645901E3">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3A3E78F1">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3E162260">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150A8C8E">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65B3B8AB">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7D9B972A">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47C695B1">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494A4937">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专家签字：</w:t>
            </w:r>
          </w:p>
          <w:p w14:paraId="30EC36EE">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p>
          <w:p w14:paraId="6616DB56">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 xml:space="preserve">  </w:t>
            </w:r>
          </w:p>
          <w:p w14:paraId="3B24F6D0">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 xml:space="preserve">                                                                  年   月   日</w:t>
            </w:r>
          </w:p>
        </w:tc>
      </w:tr>
    </w:tbl>
    <w:p w14:paraId="65B7A8A5">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t>二、XXX专业人才培养方案修订说明</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14:paraId="36D0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9" w:hRule="atLeast"/>
        </w:trPr>
        <w:tc>
          <w:tcPr>
            <w:tcW w:w="8771" w:type="dxa"/>
          </w:tcPr>
          <w:p w14:paraId="0D87AB9B">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tc>
      </w:tr>
    </w:tbl>
    <w:p w14:paraId="47A82220">
      <w:pPr>
        <w:spacing w:line="579" w:lineRule="exact"/>
        <w:ind w:firstLine="640" w:firstLineChars="200"/>
        <w:rPr>
          <w:rFonts w:hint="default"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t>三、XXX专业人才培养方案编制审核单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14:paraId="7E8F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6E3983C8">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人才培养方案制订小组编写人员（含校内外）</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2137"/>
              <w:gridCol w:w="2136"/>
              <w:gridCol w:w="2136"/>
            </w:tblGrid>
            <w:tr w14:paraId="0FB5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tcPr>
                <w:p w14:paraId="62439E62">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姓名</w:t>
                  </w:r>
                </w:p>
              </w:tc>
              <w:tc>
                <w:tcPr>
                  <w:tcW w:w="2139" w:type="dxa"/>
                </w:tcPr>
                <w:p w14:paraId="0A7CC9E4">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职务（职称）</w:t>
                  </w:r>
                </w:p>
              </w:tc>
              <w:tc>
                <w:tcPr>
                  <w:tcW w:w="2139" w:type="dxa"/>
                </w:tcPr>
                <w:p w14:paraId="37398486">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单位</w:t>
                  </w:r>
                </w:p>
              </w:tc>
              <w:tc>
                <w:tcPr>
                  <w:tcW w:w="2139" w:type="dxa"/>
                </w:tcPr>
                <w:p w14:paraId="0868C53C">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对应专业</w:t>
                  </w:r>
                </w:p>
              </w:tc>
            </w:tr>
            <w:tr w14:paraId="6FB3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tcPr>
                <w:p w14:paraId="344044F3">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p>
              </w:tc>
              <w:tc>
                <w:tcPr>
                  <w:tcW w:w="2139" w:type="dxa"/>
                </w:tcPr>
                <w:p w14:paraId="0018887B">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p>
              </w:tc>
              <w:tc>
                <w:tcPr>
                  <w:tcW w:w="2139" w:type="dxa"/>
                </w:tcPr>
                <w:p w14:paraId="4E886A14">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p>
              </w:tc>
              <w:tc>
                <w:tcPr>
                  <w:tcW w:w="2139" w:type="dxa"/>
                </w:tcPr>
                <w:p w14:paraId="06154A6A">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p>
              </w:tc>
            </w:tr>
            <w:tr w14:paraId="6534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tcPr>
                <w:p w14:paraId="6CCE271F">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p>
              </w:tc>
              <w:tc>
                <w:tcPr>
                  <w:tcW w:w="2139" w:type="dxa"/>
                </w:tcPr>
                <w:p w14:paraId="4B93E52E">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p>
              </w:tc>
              <w:tc>
                <w:tcPr>
                  <w:tcW w:w="2139" w:type="dxa"/>
                </w:tcPr>
                <w:p w14:paraId="1ECD19EC">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p>
              </w:tc>
              <w:tc>
                <w:tcPr>
                  <w:tcW w:w="2139" w:type="dxa"/>
                </w:tcPr>
                <w:p w14:paraId="763ECD3E">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p>
              </w:tc>
            </w:tr>
            <w:tr w14:paraId="00A0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tcPr>
                <w:p w14:paraId="1C9B6759">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p>
              </w:tc>
              <w:tc>
                <w:tcPr>
                  <w:tcW w:w="2139" w:type="dxa"/>
                </w:tcPr>
                <w:p w14:paraId="68243446">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p>
              </w:tc>
              <w:tc>
                <w:tcPr>
                  <w:tcW w:w="2139" w:type="dxa"/>
                </w:tcPr>
                <w:p w14:paraId="6417654F">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p>
              </w:tc>
              <w:tc>
                <w:tcPr>
                  <w:tcW w:w="2139" w:type="dxa"/>
                </w:tcPr>
                <w:p w14:paraId="47A89346">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p>
              </w:tc>
            </w:tr>
            <w:tr w14:paraId="5654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tcPr>
                <w:p w14:paraId="797F2EE5">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w:t>
                  </w:r>
                </w:p>
              </w:tc>
              <w:tc>
                <w:tcPr>
                  <w:tcW w:w="2139" w:type="dxa"/>
                </w:tcPr>
                <w:p w14:paraId="6AE16145">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p>
              </w:tc>
              <w:tc>
                <w:tcPr>
                  <w:tcW w:w="2139" w:type="dxa"/>
                </w:tcPr>
                <w:p w14:paraId="1D9FA780">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p>
              </w:tc>
              <w:tc>
                <w:tcPr>
                  <w:tcW w:w="2139" w:type="dxa"/>
                </w:tcPr>
                <w:p w14:paraId="0615A31A">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eastAsia" w:ascii="仿宋_GB2312" w:hAnsi="仿宋_GB2312" w:eastAsia="仿宋_GB2312" w:cs="仿宋_GB2312"/>
                      <w:spacing w:val="-5"/>
                      <w:sz w:val="22"/>
                      <w:szCs w:val="22"/>
                      <w:vertAlign w:val="baseline"/>
                      <w:lang w:val="en-US" w:bidi="zh-CN"/>
                    </w:rPr>
                  </w:pPr>
                </w:p>
              </w:tc>
            </w:tr>
          </w:tbl>
          <w:p w14:paraId="1E9F7BCE">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74A94EDC">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7D8619ED">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tc>
      </w:tr>
      <w:tr w14:paraId="6462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296CE9D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二级学院审核意见：</w:t>
            </w:r>
          </w:p>
          <w:p w14:paraId="5FEA669A">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58FF2F7B">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3E49B00E">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签字：             </w:t>
            </w:r>
          </w:p>
          <w:p w14:paraId="14DBAA95">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r w14:paraId="4EC4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3F1AEC70">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教务处（科研与规划处、院士工作站）：</w:t>
            </w:r>
          </w:p>
          <w:p w14:paraId="32857DC0">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08D318B1">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2CAA9658">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（盖章）             </w:t>
            </w:r>
          </w:p>
          <w:p w14:paraId="59666B2B">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r w14:paraId="6757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59F2879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主管教学校领导意见：</w:t>
            </w:r>
          </w:p>
          <w:p w14:paraId="69231FCD">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6C6F8B8C">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6B8B0BEE">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59442B1B">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（签章）             </w:t>
            </w:r>
          </w:p>
          <w:p w14:paraId="0A4A9969">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r w14:paraId="5750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691344F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学校党委会意见：</w:t>
            </w:r>
          </w:p>
          <w:p w14:paraId="455EC736">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66F9111A">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6212F6ED">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38D14FD0">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（盖章）             </w:t>
            </w:r>
          </w:p>
          <w:p w14:paraId="4BEDE407">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bl>
    <w:p w14:paraId="4D340981">
      <w:pPr>
        <w:spacing w:line="579" w:lineRule="exact"/>
        <w:ind w:left="0" w:leftChars="0" w:firstLine="0" w:firstLineChars="0"/>
        <w:rPr>
          <w:rFonts w:hint="default" w:ascii="Times New Roman" w:hAnsi="Times New Roman" w:eastAsia="黑体" w:cs="Times New Roman"/>
          <w:bCs/>
          <w:color w:val="auto"/>
          <w:kern w:val="0"/>
          <w:sz w:val="32"/>
          <w:szCs w:val="32"/>
          <w:highlight w:val="none"/>
          <w:lang w:val="en-US" w:eastAsia="zh-CN"/>
        </w:rPr>
      </w:pPr>
    </w:p>
    <w:sectPr>
      <w:footerReference r:id="rId12" w:type="default"/>
      <w:pgSz w:w="11911" w:h="16838"/>
      <w:pgMar w:top="1417" w:right="1678" w:bottom="1179" w:left="1678" w:header="879" w:footer="998"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E90B3A-1C23-4A17-96FE-3ECAE95E36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A4A9478-2ED5-40F4-8D49-82A131F78FDA}"/>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76EFBFCA-76D6-4ABA-9C20-69E60D5124CE}"/>
  </w:font>
  <w:font w:name="方正书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4" w:fontKey="{6049864B-794A-4F52-8A5E-EB31098B9295}"/>
  </w:font>
  <w:font w:name="等线">
    <w:panose1 w:val="02010600030101010101"/>
    <w:charset w:val="86"/>
    <w:family w:val="auto"/>
    <w:pitch w:val="default"/>
    <w:sig w:usb0="A00002BF" w:usb1="38CF7CFA" w:usb2="00000016" w:usb3="00000000" w:csb0="0004000F" w:csb1="00000000"/>
    <w:embedRegular r:id="rId5" w:fontKey="{3D818806-A4AE-4DD9-B243-75C8B0B24338}"/>
  </w:font>
  <w:font w:name="Segoe UI">
    <w:panose1 w:val="020B0502040204020203"/>
    <w:charset w:val="00"/>
    <w:family w:val="auto"/>
    <w:pitch w:val="default"/>
    <w:sig w:usb0="E4002EFF" w:usb1="C000E47F" w:usb2="00000009" w:usb3="00000000" w:csb0="200001FF" w:csb1="00000000"/>
    <w:embedRegular r:id="rId6" w:fontKey="{82BE21A0-E890-4C7D-95D4-14F246360E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1F7E">
    <w:pPr>
      <w:pStyle w:val="16"/>
      <w:framePr w:wrap="around" w:vAnchor="text" w:hAnchor="margin" w:xAlign="center" w:y="1"/>
      <w:rPr>
        <w:rStyle w:val="31"/>
      </w:rPr>
    </w:pPr>
    <w:r>
      <w:fldChar w:fldCharType="begin"/>
    </w:r>
    <w:r>
      <w:rPr>
        <w:rStyle w:val="31"/>
      </w:rPr>
      <w:instrText xml:space="preserve">PAGE  </w:instrText>
    </w:r>
    <w:r>
      <w:fldChar w:fldCharType="end"/>
    </w:r>
  </w:p>
  <w:p w14:paraId="1E6E3A2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214A2">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0D5C">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14D788">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2214D78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5FC4B">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FD6A00">
                          <w:pPr>
                            <w:pStyle w:val="16"/>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28FD6A00">
                    <w:pPr>
                      <w:pStyle w:val="1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C99B">
    <w:pPr>
      <w:pStyle w:val="16"/>
      <w:tabs>
        <w:tab w:val="center" w:pos="4277"/>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3A8845">
                          <w:pPr>
                            <w:pStyle w:val="16"/>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14:paraId="6B3A8845">
                    <w:pPr>
                      <w:pStyle w:val="16"/>
                    </w:pPr>
                    <w:r>
                      <w:fldChar w:fldCharType="begin"/>
                    </w:r>
                    <w:r>
                      <w:instrText xml:space="preserve"> PAGE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DD6A37">
                          <w:pPr>
                            <w:pStyle w:val="16"/>
                          </w:pP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rZWcsBAACc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7Is&#10;VmV2qAtQYeNjwNbUf/B97p7ygMksvFfR5jdKIlhHf08Xf2WfiMgflauyLLAksDYfEIc9fR4ipI/S&#10;W5KDmka8wMFXfryHNLbOLXma83faGMzzyrh/EoiZMyxzHznmKPW7fiK+880J9XR49zV1uOqUmE8O&#10;rc1rMgdxDnZzcAhR71ukthx4Qbg9JCQxcMsTRthpMF7aoG5asLwVz89D19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62VnLAQAAnAMAAA4AAAAAAAAAAQAgAAAAHgEAAGRycy9lMm9E&#10;b2MueG1sUEsFBgAAAAAGAAYAWQEAAFsFAAAAAA==&#10;">
              <v:fill on="f" focussize="0,0"/>
              <v:stroke on="f"/>
              <v:imagedata o:title=""/>
              <o:lock v:ext="edit" aspectratio="f"/>
              <v:textbox inset="0mm,0mm,0mm,0mm" style="mso-fit-shape-to-text:t;">
                <w:txbxContent>
                  <w:p w14:paraId="49DD6A37">
                    <w:pPr>
                      <w:pStyle w:val="16"/>
                    </w:pP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B876C">
    <w:pPr>
      <w:pStyle w:val="9"/>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141653">
                          <w:pPr>
                            <w:pStyle w:val="16"/>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14:paraId="29141653">
                    <w:pPr>
                      <w:pStyle w:val="1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B237">
    <w:pPr>
      <w:pStyle w:val="17"/>
      <w:pBdr>
        <w:bottom w:val="none" w:color="auto" w:sz="0" w:space="0"/>
      </w:pBdr>
      <w:ind w:left="0" w:leftChars="0" w:firstLine="0" w:firstLineChars="0"/>
      <w:jc w:val="left"/>
      <w:rPr>
        <w:rFonts w:hint="eastAsia" w:eastAsia="宋体"/>
        <w:lang w:eastAsia="zh-CN"/>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-434340</wp:posOffset>
          </wp:positionH>
          <wp:positionV relativeFrom="paragraph">
            <wp:posOffset>-62230</wp:posOffset>
          </wp:positionV>
          <wp:extent cx="2978150" cy="579120"/>
          <wp:effectExtent l="0" t="0" r="12700" b="11430"/>
          <wp:wrapNone/>
          <wp:docPr id="6" name="图片 1" descr="D:/办公通用文件/学校新版标识素材/微信图片_20250428160039.png微信图片_2025042816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办公通用文件/学校新版标识素材/微信图片_20250428160039.png微信图片_20250428160039"/>
                  <pic:cNvPicPr>
                    <a:picLocks noChangeAspect="1"/>
                  </pic:cNvPicPr>
                </pic:nvPicPr>
                <pic:blipFill>
                  <a:blip r:embed="rId1"/>
                  <a:srcRect/>
                  <a:stretch>
                    <a:fillRect/>
                  </a:stretch>
                </pic:blipFill>
                <pic:spPr>
                  <a:xfrm>
                    <a:off x="0" y="0"/>
                    <a:ext cx="2978150" cy="5791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4CB86">
    <w:pPr>
      <w:pStyle w:val="17"/>
      <w:pBdr>
        <w:bottom w:val="none" w:color="auto" w:sz="0" w:space="0"/>
      </w:pBdr>
      <w:ind w:left="0" w:leftChars="0" w:firstLine="0" w:firstLineChars="0"/>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8421D"/>
    <w:multiLevelType w:val="singleLevel"/>
    <w:tmpl w:val="8F38421D"/>
    <w:lvl w:ilvl="0" w:tentative="0">
      <w:start w:val="1"/>
      <w:numFmt w:val="chineseCounting"/>
      <w:suff w:val="nothing"/>
      <w:lvlText w:val="%1、"/>
      <w:lvlJc w:val="left"/>
      <w:rPr>
        <w:rFonts w:hint="eastAsia"/>
      </w:rPr>
    </w:lvl>
  </w:abstractNum>
  <w:abstractNum w:abstractNumId="1">
    <w:nsid w:val="98EB916A"/>
    <w:multiLevelType w:val="singleLevel"/>
    <w:tmpl w:val="98EB916A"/>
    <w:lvl w:ilvl="0" w:tentative="0">
      <w:start w:val="1"/>
      <w:numFmt w:val="chineseCounting"/>
      <w:suff w:val="nothing"/>
      <w:lvlText w:val="%1、"/>
      <w:lvlJc w:val="left"/>
      <w:rPr>
        <w:rFonts w:hint="eastAsia"/>
      </w:rPr>
    </w:lvl>
  </w:abstractNum>
  <w:abstractNum w:abstractNumId="2">
    <w:nsid w:val="CF2A2078"/>
    <w:multiLevelType w:val="singleLevel"/>
    <w:tmpl w:val="CF2A2078"/>
    <w:lvl w:ilvl="0" w:tentative="0">
      <w:start w:val="4"/>
      <w:numFmt w:val="decimal"/>
      <w:lvlText w:val="%1."/>
      <w:lvlJc w:val="left"/>
      <w:pPr>
        <w:tabs>
          <w:tab w:val="left" w:pos="312"/>
        </w:tabs>
      </w:pPr>
    </w:lvl>
  </w:abstractNum>
  <w:abstractNum w:abstractNumId="3">
    <w:nsid w:val="FCB6C78C"/>
    <w:multiLevelType w:val="singleLevel"/>
    <w:tmpl w:val="FCB6C78C"/>
    <w:lvl w:ilvl="0" w:tentative="0">
      <w:start w:val="1"/>
      <w:numFmt w:val="decimal"/>
      <w:suff w:val="nothing"/>
      <w:lvlText w:val="（%1）"/>
      <w:lvlJc w:val="left"/>
    </w:lvl>
  </w:abstractNum>
  <w:abstractNum w:abstractNumId="4">
    <w:nsid w:val="5436481C"/>
    <w:multiLevelType w:val="singleLevel"/>
    <w:tmpl w:val="5436481C"/>
    <w:lvl w:ilvl="0" w:tentative="0">
      <w:start w:val="6"/>
      <w:numFmt w:val="decimal"/>
      <w:suff w:val="nothing"/>
      <w:lvlText w:val="（%1）"/>
      <w:lvlJc w:val="left"/>
    </w:lvl>
  </w:abstractNum>
  <w:abstractNum w:abstractNumId="5">
    <w:nsid w:val="7ED47FFA"/>
    <w:multiLevelType w:val="singleLevel"/>
    <w:tmpl w:val="7ED47FFA"/>
    <w:lvl w:ilvl="0" w:tentative="0">
      <w:start w:val="1"/>
      <w:numFmt w:val="bullet"/>
      <w:lvlText w:val=""/>
      <w:lvlJc w:val="left"/>
      <w:pPr>
        <w:ind w:left="1260" w:hanging="420"/>
      </w:pPr>
      <w:rPr>
        <w:rFonts w:hint="default" w:ascii="Wingdings" w:hAnsi="Wingdings"/>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YTg4MzFhYTY5ZTU1ODZkNTQzMDE5ZjYxOTdiNDcifQ=="/>
  </w:docVars>
  <w:rsids>
    <w:rsidRoot w:val="00172A27"/>
    <w:rsid w:val="000055DC"/>
    <w:rsid w:val="00007166"/>
    <w:rsid w:val="00007626"/>
    <w:rsid w:val="0000778E"/>
    <w:rsid w:val="000155A1"/>
    <w:rsid w:val="00017773"/>
    <w:rsid w:val="00022BA4"/>
    <w:rsid w:val="000256BB"/>
    <w:rsid w:val="000326D3"/>
    <w:rsid w:val="0004183B"/>
    <w:rsid w:val="0004466C"/>
    <w:rsid w:val="00047BCE"/>
    <w:rsid w:val="00050E6E"/>
    <w:rsid w:val="000520F4"/>
    <w:rsid w:val="000531B8"/>
    <w:rsid w:val="00057A1B"/>
    <w:rsid w:val="0006105B"/>
    <w:rsid w:val="00061859"/>
    <w:rsid w:val="00061D62"/>
    <w:rsid w:val="00062104"/>
    <w:rsid w:val="000624DB"/>
    <w:rsid w:val="00063714"/>
    <w:rsid w:val="000647E5"/>
    <w:rsid w:val="000679B0"/>
    <w:rsid w:val="0007186B"/>
    <w:rsid w:val="000722F5"/>
    <w:rsid w:val="00073A55"/>
    <w:rsid w:val="0008150C"/>
    <w:rsid w:val="00082734"/>
    <w:rsid w:val="00083379"/>
    <w:rsid w:val="00083A5E"/>
    <w:rsid w:val="00093D2C"/>
    <w:rsid w:val="00095442"/>
    <w:rsid w:val="00096D35"/>
    <w:rsid w:val="000971C7"/>
    <w:rsid w:val="000A0DDF"/>
    <w:rsid w:val="000A12C7"/>
    <w:rsid w:val="000A1B1C"/>
    <w:rsid w:val="000A2E2D"/>
    <w:rsid w:val="000A329B"/>
    <w:rsid w:val="000A4C51"/>
    <w:rsid w:val="000A5A27"/>
    <w:rsid w:val="000B07BF"/>
    <w:rsid w:val="000B2075"/>
    <w:rsid w:val="000B3340"/>
    <w:rsid w:val="000B577A"/>
    <w:rsid w:val="000B58B9"/>
    <w:rsid w:val="000B6F4C"/>
    <w:rsid w:val="000B76F8"/>
    <w:rsid w:val="000C3719"/>
    <w:rsid w:val="000C394C"/>
    <w:rsid w:val="000C3C9D"/>
    <w:rsid w:val="000C43CE"/>
    <w:rsid w:val="000C72D8"/>
    <w:rsid w:val="000D2605"/>
    <w:rsid w:val="000D2EE1"/>
    <w:rsid w:val="000D39BB"/>
    <w:rsid w:val="000D3C44"/>
    <w:rsid w:val="000D4D0A"/>
    <w:rsid w:val="000D5A5E"/>
    <w:rsid w:val="000D6372"/>
    <w:rsid w:val="000D7A60"/>
    <w:rsid w:val="000D7D14"/>
    <w:rsid w:val="000E0358"/>
    <w:rsid w:val="000E10E1"/>
    <w:rsid w:val="000F4669"/>
    <w:rsid w:val="000F466E"/>
    <w:rsid w:val="000F5CB4"/>
    <w:rsid w:val="000F7373"/>
    <w:rsid w:val="00102CB0"/>
    <w:rsid w:val="00104372"/>
    <w:rsid w:val="001056A8"/>
    <w:rsid w:val="0010732E"/>
    <w:rsid w:val="00110BCC"/>
    <w:rsid w:val="00115C17"/>
    <w:rsid w:val="00117C88"/>
    <w:rsid w:val="001206BA"/>
    <w:rsid w:val="00121E0A"/>
    <w:rsid w:val="00123CAD"/>
    <w:rsid w:val="00124550"/>
    <w:rsid w:val="0012744C"/>
    <w:rsid w:val="00133A8B"/>
    <w:rsid w:val="001408BC"/>
    <w:rsid w:val="00141A68"/>
    <w:rsid w:val="0014761F"/>
    <w:rsid w:val="001512BA"/>
    <w:rsid w:val="00151B80"/>
    <w:rsid w:val="00152FA4"/>
    <w:rsid w:val="00153BDC"/>
    <w:rsid w:val="001566A6"/>
    <w:rsid w:val="00156B92"/>
    <w:rsid w:val="00156D40"/>
    <w:rsid w:val="00157FA3"/>
    <w:rsid w:val="001629D3"/>
    <w:rsid w:val="00162A09"/>
    <w:rsid w:val="0016640C"/>
    <w:rsid w:val="00167426"/>
    <w:rsid w:val="00171E26"/>
    <w:rsid w:val="0017369E"/>
    <w:rsid w:val="00175008"/>
    <w:rsid w:val="001758F1"/>
    <w:rsid w:val="00176C65"/>
    <w:rsid w:val="001820B4"/>
    <w:rsid w:val="00186176"/>
    <w:rsid w:val="0019588D"/>
    <w:rsid w:val="001A218E"/>
    <w:rsid w:val="001A63E6"/>
    <w:rsid w:val="001B0BAC"/>
    <w:rsid w:val="001B1420"/>
    <w:rsid w:val="001B1FB9"/>
    <w:rsid w:val="001B293A"/>
    <w:rsid w:val="001B2AF0"/>
    <w:rsid w:val="001B4318"/>
    <w:rsid w:val="001B4C0B"/>
    <w:rsid w:val="001B63A6"/>
    <w:rsid w:val="001B72E9"/>
    <w:rsid w:val="001B7AEC"/>
    <w:rsid w:val="001C3463"/>
    <w:rsid w:val="001C5510"/>
    <w:rsid w:val="001D3298"/>
    <w:rsid w:val="001D3BB0"/>
    <w:rsid w:val="001D4D05"/>
    <w:rsid w:val="001D52EE"/>
    <w:rsid w:val="001D59CD"/>
    <w:rsid w:val="001D69EC"/>
    <w:rsid w:val="001D6A68"/>
    <w:rsid w:val="001E12D0"/>
    <w:rsid w:val="001E48DC"/>
    <w:rsid w:val="001F27BA"/>
    <w:rsid w:val="001F2CD5"/>
    <w:rsid w:val="001F550B"/>
    <w:rsid w:val="001F592F"/>
    <w:rsid w:val="00201D6F"/>
    <w:rsid w:val="00202D52"/>
    <w:rsid w:val="0020500F"/>
    <w:rsid w:val="00205B08"/>
    <w:rsid w:val="00210B2D"/>
    <w:rsid w:val="00212ABD"/>
    <w:rsid w:val="0021459D"/>
    <w:rsid w:val="00214FBB"/>
    <w:rsid w:val="002202B2"/>
    <w:rsid w:val="00222298"/>
    <w:rsid w:val="002222CE"/>
    <w:rsid w:val="002231A2"/>
    <w:rsid w:val="002377D0"/>
    <w:rsid w:val="00237AEC"/>
    <w:rsid w:val="0024000E"/>
    <w:rsid w:val="002427C8"/>
    <w:rsid w:val="00243A16"/>
    <w:rsid w:val="00243DC5"/>
    <w:rsid w:val="00243F84"/>
    <w:rsid w:val="00244E5D"/>
    <w:rsid w:val="00250589"/>
    <w:rsid w:val="00250BA6"/>
    <w:rsid w:val="002543DA"/>
    <w:rsid w:val="00256D29"/>
    <w:rsid w:val="002573A7"/>
    <w:rsid w:val="0025790F"/>
    <w:rsid w:val="002640FE"/>
    <w:rsid w:val="00272FFE"/>
    <w:rsid w:val="0027300C"/>
    <w:rsid w:val="0027657C"/>
    <w:rsid w:val="002873E0"/>
    <w:rsid w:val="0028750D"/>
    <w:rsid w:val="002916A6"/>
    <w:rsid w:val="00291733"/>
    <w:rsid w:val="00294ABB"/>
    <w:rsid w:val="00296B0F"/>
    <w:rsid w:val="00297C16"/>
    <w:rsid w:val="00297D0A"/>
    <w:rsid w:val="002A75D8"/>
    <w:rsid w:val="002B55FA"/>
    <w:rsid w:val="002B65B2"/>
    <w:rsid w:val="002B7D7A"/>
    <w:rsid w:val="002C359C"/>
    <w:rsid w:val="002C44D8"/>
    <w:rsid w:val="002C7B9C"/>
    <w:rsid w:val="002D071B"/>
    <w:rsid w:val="002D6424"/>
    <w:rsid w:val="002D7280"/>
    <w:rsid w:val="002D7316"/>
    <w:rsid w:val="002E4563"/>
    <w:rsid w:val="002E49BB"/>
    <w:rsid w:val="002E70AE"/>
    <w:rsid w:val="002F2C05"/>
    <w:rsid w:val="002F32D6"/>
    <w:rsid w:val="002F5466"/>
    <w:rsid w:val="00304285"/>
    <w:rsid w:val="00304BC2"/>
    <w:rsid w:val="0030710B"/>
    <w:rsid w:val="00307AA0"/>
    <w:rsid w:val="00310513"/>
    <w:rsid w:val="003154A3"/>
    <w:rsid w:val="003177E3"/>
    <w:rsid w:val="00317CB3"/>
    <w:rsid w:val="0032112A"/>
    <w:rsid w:val="00325216"/>
    <w:rsid w:val="003275DD"/>
    <w:rsid w:val="003332CB"/>
    <w:rsid w:val="003339DB"/>
    <w:rsid w:val="00335256"/>
    <w:rsid w:val="00337E55"/>
    <w:rsid w:val="00342BC6"/>
    <w:rsid w:val="003431B3"/>
    <w:rsid w:val="003435C5"/>
    <w:rsid w:val="00344AA1"/>
    <w:rsid w:val="00345958"/>
    <w:rsid w:val="00350B82"/>
    <w:rsid w:val="00351C72"/>
    <w:rsid w:val="00351D13"/>
    <w:rsid w:val="00352AE9"/>
    <w:rsid w:val="00353BD2"/>
    <w:rsid w:val="00355118"/>
    <w:rsid w:val="00356616"/>
    <w:rsid w:val="00362177"/>
    <w:rsid w:val="00366041"/>
    <w:rsid w:val="00366071"/>
    <w:rsid w:val="003719BC"/>
    <w:rsid w:val="00372221"/>
    <w:rsid w:val="00374847"/>
    <w:rsid w:val="00376815"/>
    <w:rsid w:val="00377A14"/>
    <w:rsid w:val="003806CB"/>
    <w:rsid w:val="00382A40"/>
    <w:rsid w:val="00383A15"/>
    <w:rsid w:val="003848F4"/>
    <w:rsid w:val="00385BC0"/>
    <w:rsid w:val="00390679"/>
    <w:rsid w:val="0039213A"/>
    <w:rsid w:val="0039234B"/>
    <w:rsid w:val="00395AD3"/>
    <w:rsid w:val="00395FB7"/>
    <w:rsid w:val="003A12B6"/>
    <w:rsid w:val="003A3695"/>
    <w:rsid w:val="003C1AAF"/>
    <w:rsid w:val="003C684A"/>
    <w:rsid w:val="003D280B"/>
    <w:rsid w:val="003D4770"/>
    <w:rsid w:val="003E12F0"/>
    <w:rsid w:val="003E1CF3"/>
    <w:rsid w:val="003E669D"/>
    <w:rsid w:val="003F074C"/>
    <w:rsid w:val="003F1574"/>
    <w:rsid w:val="003F159B"/>
    <w:rsid w:val="003F187F"/>
    <w:rsid w:val="003F5E7D"/>
    <w:rsid w:val="00401B6B"/>
    <w:rsid w:val="0040419F"/>
    <w:rsid w:val="004066C7"/>
    <w:rsid w:val="00406862"/>
    <w:rsid w:val="00407FA7"/>
    <w:rsid w:val="00411080"/>
    <w:rsid w:val="00413FCC"/>
    <w:rsid w:val="004240F6"/>
    <w:rsid w:val="00424788"/>
    <w:rsid w:val="004247C0"/>
    <w:rsid w:val="0043062C"/>
    <w:rsid w:val="00431045"/>
    <w:rsid w:val="0043171B"/>
    <w:rsid w:val="00433278"/>
    <w:rsid w:val="00436A1D"/>
    <w:rsid w:val="00437EC8"/>
    <w:rsid w:val="00440575"/>
    <w:rsid w:val="0044099C"/>
    <w:rsid w:val="0044208E"/>
    <w:rsid w:val="00442C6D"/>
    <w:rsid w:val="00444887"/>
    <w:rsid w:val="004449B6"/>
    <w:rsid w:val="00446814"/>
    <w:rsid w:val="004500C1"/>
    <w:rsid w:val="00453316"/>
    <w:rsid w:val="00453566"/>
    <w:rsid w:val="00457842"/>
    <w:rsid w:val="00460DDD"/>
    <w:rsid w:val="00460E77"/>
    <w:rsid w:val="00463A01"/>
    <w:rsid w:val="00463C48"/>
    <w:rsid w:val="00464650"/>
    <w:rsid w:val="0046553F"/>
    <w:rsid w:val="0046573B"/>
    <w:rsid w:val="004659D4"/>
    <w:rsid w:val="00465D65"/>
    <w:rsid w:val="004668AC"/>
    <w:rsid w:val="004671C5"/>
    <w:rsid w:val="00471DC1"/>
    <w:rsid w:val="004731F3"/>
    <w:rsid w:val="00475B7C"/>
    <w:rsid w:val="00475FB6"/>
    <w:rsid w:val="00484FB6"/>
    <w:rsid w:val="00487F50"/>
    <w:rsid w:val="004932B5"/>
    <w:rsid w:val="00497653"/>
    <w:rsid w:val="00497F42"/>
    <w:rsid w:val="004A37C8"/>
    <w:rsid w:val="004A7AC7"/>
    <w:rsid w:val="004B56AF"/>
    <w:rsid w:val="004B70EE"/>
    <w:rsid w:val="004C277A"/>
    <w:rsid w:val="004C6BD3"/>
    <w:rsid w:val="004D10F3"/>
    <w:rsid w:val="004D349D"/>
    <w:rsid w:val="004D43C9"/>
    <w:rsid w:val="004E60CF"/>
    <w:rsid w:val="004E7CB5"/>
    <w:rsid w:val="004F0569"/>
    <w:rsid w:val="004F0911"/>
    <w:rsid w:val="004F144F"/>
    <w:rsid w:val="004F5178"/>
    <w:rsid w:val="004F5B9E"/>
    <w:rsid w:val="004F72FA"/>
    <w:rsid w:val="005032D6"/>
    <w:rsid w:val="005100CC"/>
    <w:rsid w:val="0051075B"/>
    <w:rsid w:val="00511A1C"/>
    <w:rsid w:val="005142F5"/>
    <w:rsid w:val="005169E9"/>
    <w:rsid w:val="00516FB6"/>
    <w:rsid w:val="00517417"/>
    <w:rsid w:val="00522A4D"/>
    <w:rsid w:val="00524DFF"/>
    <w:rsid w:val="005364D1"/>
    <w:rsid w:val="0054020E"/>
    <w:rsid w:val="00540831"/>
    <w:rsid w:val="005424D3"/>
    <w:rsid w:val="00551E5E"/>
    <w:rsid w:val="0056039A"/>
    <w:rsid w:val="0056121E"/>
    <w:rsid w:val="005613C8"/>
    <w:rsid w:val="00564342"/>
    <w:rsid w:val="00564DFA"/>
    <w:rsid w:val="00566DF7"/>
    <w:rsid w:val="00570FD5"/>
    <w:rsid w:val="0057115F"/>
    <w:rsid w:val="005730B6"/>
    <w:rsid w:val="00573754"/>
    <w:rsid w:val="005737D6"/>
    <w:rsid w:val="00575863"/>
    <w:rsid w:val="0058186D"/>
    <w:rsid w:val="00584A10"/>
    <w:rsid w:val="00586B16"/>
    <w:rsid w:val="00593603"/>
    <w:rsid w:val="0059459D"/>
    <w:rsid w:val="00596E18"/>
    <w:rsid w:val="005A00D2"/>
    <w:rsid w:val="005A33E1"/>
    <w:rsid w:val="005A3963"/>
    <w:rsid w:val="005B1A33"/>
    <w:rsid w:val="005B2C3E"/>
    <w:rsid w:val="005B2CE0"/>
    <w:rsid w:val="005B3C8F"/>
    <w:rsid w:val="005B3CD6"/>
    <w:rsid w:val="005B43D2"/>
    <w:rsid w:val="005B50D0"/>
    <w:rsid w:val="005C7E10"/>
    <w:rsid w:val="005E18DF"/>
    <w:rsid w:val="005E3EAA"/>
    <w:rsid w:val="005E45CE"/>
    <w:rsid w:val="005E742C"/>
    <w:rsid w:val="005E7FE6"/>
    <w:rsid w:val="005F02BD"/>
    <w:rsid w:val="005F34F2"/>
    <w:rsid w:val="005F681C"/>
    <w:rsid w:val="005F68F1"/>
    <w:rsid w:val="005F6FB6"/>
    <w:rsid w:val="00606B0A"/>
    <w:rsid w:val="00611E39"/>
    <w:rsid w:val="006142ED"/>
    <w:rsid w:val="00617616"/>
    <w:rsid w:val="0062067D"/>
    <w:rsid w:val="00621205"/>
    <w:rsid w:val="0062285F"/>
    <w:rsid w:val="00624070"/>
    <w:rsid w:val="00625D7B"/>
    <w:rsid w:val="00626EA7"/>
    <w:rsid w:val="0062711D"/>
    <w:rsid w:val="006355FE"/>
    <w:rsid w:val="00640EEF"/>
    <w:rsid w:val="00642B39"/>
    <w:rsid w:val="00650D74"/>
    <w:rsid w:val="006520FE"/>
    <w:rsid w:val="00654C06"/>
    <w:rsid w:val="00667B28"/>
    <w:rsid w:val="00671A53"/>
    <w:rsid w:val="00672B06"/>
    <w:rsid w:val="00675349"/>
    <w:rsid w:val="00681AE3"/>
    <w:rsid w:val="00682F12"/>
    <w:rsid w:val="00684211"/>
    <w:rsid w:val="00690A3B"/>
    <w:rsid w:val="00692F40"/>
    <w:rsid w:val="00692F4D"/>
    <w:rsid w:val="0069375E"/>
    <w:rsid w:val="006939F5"/>
    <w:rsid w:val="00693F46"/>
    <w:rsid w:val="00694D2F"/>
    <w:rsid w:val="006A0841"/>
    <w:rsid w:val="006A2871"/>
    <w:rsid w:val="006A7562"/>
    <w:rsid w:val="006B20CA"/>
    <w:rsid w:val="006B5A50"/>
    <w:rsid w:val="006B672A"/>
    <w:rsid w:val="006B6D1F"/>
    <w:rsid w:val="006B772E"/>
    <w:rsid w:val="006C2A7D"/>
    <w:rsid w:val="006C6F3A"/>
    <w:rsid w:val="006D1190"/>
    <w:rsid w:val="006E25AD"/>
    <w:rsid w:val="006E296E"/>
    <w:rsid w:val="006E6BF7"/>
    <w:rsid w:val="006E73EB"/>
    <w:rsid w:val="006E7E87"/>
    <w:rsid w:val="006F00FB"/>
    <w:rsid w:val="006F023F"/>
    <w:rsid w:val="006F04E9"/>
    <w:rsid w:val="006F15BA"/>
    <w:rsid w:val="006F1BB5"/>
    <w:rsid w:val="006F2CA9"/>
    <w:rsid w:val="0070036C"/>
    <w:rsid w:val="00703F8C"/>
    <w:rsid w:val="0070407C"/>
    <w:rsid w:val="00704795"/>
    <w:rsid w:val="00710F14"/>
    <w:rsid w:val="007168C9"/>
    <w:rsid w:val="00716F53"/>
    <w:rsid w:val="007207F5"/>
    <w:rsid w:val="007258FD"/>
    <w:rsid w:val="00726740"/>
    <w:rsid w:val="00734176"/>
    <w:rsid w:val="00734DEA"/>
    <w:rsid w:val="0073552C"/>
    <w:rsid w:val="00736209"/>
    <w:rsid w:val="00740175"/>
    <w:rsid w:val="00741B1B"/>
    <w:rsid w:val="0074329A"/>
    <w:rsid w:val="00743819"/>
    <w:rsid w:val="007444A7"/>
    <w:rsid w:val="00754A12"/>
    <w:rsid w:val="00755C4A"/>
    <w:rsid w:val="007571F7"/>
    <w:rsid w:val="007578FF"/>
    <w:rsid w:val="00761ED6"/>
    <w:rsid w:val="007636F6"/>
    <w:rsid w:val="00763859"/>
    <w:rsid w:val="00764BC3"/>
    <w:rsid w:val="00766A70"/>
    <w:rsid w:val="007675EA"/>
    <w:rsid w:val="00773DA3"/>
    <w:rsid w:val="00775D39"/>
    <w:rsid w:val="00781E49"/>
    <w:rsid w:val="00783423"/>
    <w:rsid w:val="00783858"/>
    <w:rsid w:val="00785C4D"/>
    <w:rsid w:val="00790366"/>
    <w:rsid w:val="00792C48"/>
    <w:rsid w:val="00793E85"/>
    <w:rsid w:val="00795AC4"/>
    <w:rsid w:val="007964FB"/>
    <w:rsid w:val="007A4A1D"/>
    <w:rsid w:val="007A5C32"/>
    <w:rsid w:val="007A5EF3"/>
    <w:rsid w:val="007B0D48"/>
    <w:rsid w:val="007B5886"/>
    <w:rsid w:val="007B7643"/>
    <w:rsid w:val="007C0371"/>
    <w:rsid w:val="007C0B7D"/>
    <w:rsid w:val="007C25B7"/>
    <w:rsid w:val="007C3C65"/>
    <w:rsid w:val="007C6AE5"/>
    <w:rsid w:val="007C7BB3"/>
    <w:rsid w:val="007D4FB6"/>
    <w:rsid w:val="007E10F9"/>
    <w:rsid w:val="007E1B42"/>
    <w:rsid w:val="007E26AC"/>
    <w:rsid w:val="007E2A0B"/>
    <w:rsid w:val="007E2C75"/>
    <w:rsid w:val="007E5C0C"/>
    <w:rsid w:val="007E6CCE"/>
    <w:rsid w:val="007E788B"/>
    <w:rsid w:val="007F586F"/>
    <w:rsid w:val="008012C8"/>
    <w:rsid w:val="008016EB"/>
    <w:rsid w:val="008056C3"/>
    <w:rsid w:val="008077F2"/>
    <w:rsid w:val="00807A89"/>
    <w:rsid w:val="008112D1"/>
    <w:rsid w:val="008135ED"/>
    <w:rsid w:val="0082070E"/>
    <w:rsid w:val="00820C54"/>
    <w:rsid w:val="008243D9"/>
    <w:rsid w:val="00824B16"/>
    <w:rsid w:val="00830D71"/>
    <w:rsid w:val="008371A2"/>
    <w:rsid w:val="008411BE"/>
    <w:rsid w:val="00842315"/>
    <w:rsid w:val="00845007"/>
    <w:rsid w:val="008461AD"/>
    <w:rsid w:val="008500AA"/>
    <w:rsid w:val="00850493"/>
    <w:rsid w:val="00850971"/>
    <w:rsid w:val="00851413"/>
    <w:rsid w:val="00855FEB"/>
    <w:rsid w:val="00857BEE"/>
    <w:rsid w:val="008665FF"/>
    <w:rsid w:val="00866DA4"/>
    <w:rsid w:val="00867060"/>
    <w:rsid w:val="008704A2"/>
    <w:rsid w:val="00870530"/>
    <w:rsid w:val="00874EA0"/>
    <w:rsid w:val="0087525E"/>
    <w:rsid w:val="00875293"/>
    <w:rsid w:val="008770DA"/>
    <w:rsid w:val="00877CA9"/>
    <w:rsid w:val="0088034B"/>
    <w:rsid w:val="0088309E"/>
    <w:rsid w:val="008832B2"/>
    <w:rsid w:val="008854D2"/>
    <w:rsid w:val="0089057B"/>
    <w:rsid w:val="00890944"/>
    <w:rsid w:val="00890A14"/>
    <w:rsid w:val="00891B1D"/>
    <w:rsid w:val="008963DE"/>
    <w:rsid w:val="008A040D"/>
    <w:rsid w:val="008A2CF8"/>
    <w:rsid w:val="008A379C"/>
    <w:rsid w:val="008B2FEE"/>
    <w:rsid w:val="008B5C45"/>
    <w:rsid w:val="008C05E1"/>
    <w:rsid w:val="008C0634"/>
    <w:rsid w:val="008C2C87"/>
    <w:rsid w:val="008C4A4E"/>
    <w:rsid w:val="008D5C58"/>
    <w:rsid w:val="008D6F19"/>
    <w:rsid w:val="008D7BCD"/>
    <w:rsid w:val="008E1579"/>
    <w:rsid w:val="008E2FAA"/>
    <w:rsid w:val="008E7CAF"/>
    <w:rsid w:val="008F200B"/>
    <w:rsid w:val="008F7BDA"/>
    <w:rsid w:val="00900146"/>
    <w:rsid w:val="00906745"/>
    <w:rsid w:val="0090698C"/>
    <w:rsid w:val="00907C2A"/>
    <w:rsid w:val="009127DF"/>
    <w:rsid w:val="00912BA9"/>
    <w:rsid w:val="009145BE"/>
    <w:rsid w:val="009209F0"/>
    <w:rsid w:val="00920C64"/>
    <w:rsid w:val="00926582"/>
    <w:rsid w:val="0092757D"/>
    <w:rsid w:val="0093025B"/>
    <w:rsid w:val="00934D02"/>
    <w:rsid w:val="009367C8"/>
    <w:rsid w:val="00940367"/>
    <w:rsid w:val="0094083C"/>
    <w:rsid w:val="00942193"/>
    <w:rsid w:val="009435CD"/>
    <w:rsid w:val="009440ED"/>
    <w:rsid w:val="00945660"/>
    <w:rsid w:val="00951EFD"/>
    <w:rsid w:val="00953162"/>
    <w:rsid w:val="00953240"/>
    <w:rsid w:val="00954A2C"/>
    <w:rsid w:val="00955D97"/>
    <w:rsid w:val="00960F1F"/>
    <w:rsid w:val="00964DD9"/>
    <w:rsid w:val="00965D26"/>
    <w:rsid w:val="0096619D"/>
    <w:rsid w:val="00966892"/>
    <w:rsid w:val="00973D96"/>
    <w:rsid w:val="0097434D"/>
    <w:rsid w:val="0097452C"/>
    <w:rsid w:val="00974BF4"/>
    <w:rsid w:val="00975056"/>
    <w:rsid w:val="00975469"/>
    <w:rsid w:val="00976638"/>
    <w:rsid w:val="00980DD1"/>
    <w:rsid w:val="00982278"/>
    <w:rsid w:val="00985436"/>
    <w:rsid w:val="00987CA4"/>
    <w:rsid w:val="009920A7"/>
    <w:rsid w:val="009922DB"/>
    <w:rsid w:val="00995CCB"/>
    <w:rsid w:val="00997FF6"/>
    <w:rsid w:val="009A0341"/>
    <w:rsid w:val="009A1B9A"/>
    <w:rsid w:val="009A4673"/>
    <w:rsid w:val="009A6FB4"/>
    <w:rsid w:val="009B6717"/>
    <w:rsid w:val="009B6834"/>
    <w:rsid w:val="009B76BD"/>
    <w:rsid w:val="009C0F0A"/>
    <w:rsid w:val="009C38AD"/>
    <w:rsid w:val="009C4C32"/>
    <w:rsid w:val="009D0614"/>
    <w:rsid w:val="009D0D0C"/>
    <w:rsid w:val="009D0D85"/>
    <w:rsid w:val="009D2042"/>
    <w:rsid w:val="009D3997"/>
    <w:rsid w:val="009D45DA"/>
    <w:rsid w:val="009E0418"/>
    <w:rsid w:val="009E3D4C"/>
    <w:rsid w:val="009E4426"/>
    <w:rsid w:val="009E50E7"/>
    <w:rsid w:val="009E5785"/>
    <w:rsid w:val="009F2D1B"/>
    <w:rsid w:val="009F3901"/>
    <w:rsid w:val="009F3B7B"/>
    <w:rsid w:val="009F4DE7"/>
    <w:rsid w:val="009F6B67"/>
    <w:rsid w:val="009F7A82"/>
    <w:rsid w:val="00A018DD"/>
    <w:rsid w:val="00A02790"/>
    <w:rsid w:val="00A033AB"/>
    <w:rsid w:val="00A0406A"/>
    <w:rsid w:val="00A05E3D"/>
    <w:rsid w:val="00A07C60"/>
    <w:rsid w:val="00A11FED"/>
    <w:rsid w:val="00A12F06"/>
    <w:rsid w:val="00A17589"/>
    <w:rsid w:val="00A22C27"/>
    <w:rsid w:val="00A247D7"/>
    <w:rsid w:val="00A248FC"/>
    <w:rsid w:val="00A251FA"/>
    <w:rsid w:val="00A306B1"/>
    <w:rsid w:val="00A31903"/>
    <w:rsid w:val="00A32A11"/>
    <w:rsid w:val="00A40630"/>
    <w:rsid w:val="00A4704C"/>
    <w:rsid w:val="00A52EF4"/>
    <w:rsid w:val="00A5332D"/>
    <w:rsid w:val="00A60E36"/>
    <w:rsid w:val="00A67136"/>
    <w:rsid w:val="00A70AF5"/>
    <w:rsid w:val="00A70ECD"/>
    <w:rsid w:val="00A71107"/>
    <w:rsid w:val="00A719C4"/>
    <w:rsid w:val="00A73993"/>
    <w:rsid w:val="00A73FEF"/>
    <w:rsid w:val="00A760EA"/>
    <w:rsid w:val="00A82412"/>
    <w:rsid w:val="00A83E59"/>
    <w:rsid w:val="00A84E02"/>
    <w:rsid w:val="00A855BC"/>
    <w:rsid w:val="00A85B18"/>
    <w:rsid w:val="00A8675D"/>
    <w:rsid w:val="00A87385"/>
    <w:rsid w:val="00A922D5"/>
    <w:rsid w:val="00A95A65"/>
    <w:rsid w:val="00A960CC"/>
    <w:rsid w:val="00A96679"/>
    <w:rsid w:val="00A97A54"/>
    <w:rsid w:val="00A97B3F"/>
    <w:rsid w:val="00AA0A5B"/>
    <w:rsid w:val="00AA10C0"/>
    <w:rsid w:val="00AB3E57"/>
    <w:rsid w:val="00AB4DE1"/>
    <w:rsid w:val="00AB62AC"/>
    <w:rsid w:val="00AC1AB5"/>
    <w:rsid w:val="00AC2067"/>
    <w:rsid w:val="00AC25DE"/>
    <w:rsid w:val="00AC2C3D"/>
    <w:rsid w:val="00AC3102"/>
    <w:rsid w:val="00AD0005"/>
    <w:rsid w:val="00AD0686"/>
    <w:rsid w:val="00AD1605"/>
    <w:rsid w:val="00AD35EC"/>
    <w:rsid w:val="00AD5A03"/>
    <w:rsid w:val="00AD5A50"/>
    <w:rsid w:val="00AE4E7D"/>
    <w:rsid w:val="00AF06FE"/>
    <w:rsid w:val="00AF2A0C"/>
    <w:rsid w:val="00AF2C4E"/>
    <w:rsid w:val="00AF3D37"/>
    <w:rsid w:val="00AF3FD1"/>
    <w:rsid w:val="00AF59C5"/>
    <w:rsid w:val="00AF789B"/>
    <w:rsid w:val="00B005EA"/>
    <w:rsid w:val="00B01505"/>
    <w:rsid w:val="00B01E1B"/>
    <w:rsid w:val="00B02A84"/>
    <w:rsid w:val="00B04378"/>
    <w:rsid w:val="00B04A21"/>
    <w:rsid w:val="00B05FB1"/>
    <w:rsid w:val="00B06CC2"/>
    <w:rsid w:val="00B12C61"/>
    <w:rsid w:val="00B14843"/>
    <w:rsid w:val="00B16305"/>
    <w:rsid w:val="00B249B4"/>
    <w:rsid w:val="00B24A82"/>
    <w:rsid w:val="00B2794C"/>
    <w:rsid w:val="00B307DD"/>
    <w:rsid w:val="00B30E1F"/>
    <w:rsid w:val="00B31641"/>
    <w:rsid w:val="00B40B53"/>
    <w:rsid w:val="00B464D0"/>
    <w:rsid w:val="00B47B87"/>
    <w:rsid w:val="00B516CC"/>
    <w:rsid w:val="00B574F4"/>
    <w:rsid w:val="00B62A9E"/>
    <w:rsid w:val="00B62BA6"/>
    <w:rsid w:val="00B645D2"/>
    <w:rsid w:val="00B66D0B"/>
    <w:rsid w:val="00B66F31"/>
    <w:rsid w:val="00B67A92"/>
    <w:rsid w:val="00B747DC"/>
    <w:rsid w:val="00B7522F"/>
    <w:rsid w:val="00B75B1D"/>
    <w:rsid w:val="00B76587"/>
    <w:rsid w:val="00B77CBE"/>
    <w:rsid w:val="00B8094D"/>
    <w:rsid w:val="00B80C01"/>
    <w:rsid w:val="00B80FFC"/>
    <w:rsid w:val="00B843D8"/>
    <w:rsid w:val="00B85E62"/>
    <w:rsid w:val="00B86442"/>
    <w:rsid w:val="00B9291B"/>
    <w:rsid w:val="00B9525C"/>
    <w:rsid w:val="00B9550E"/>
    <w:rsid w:val="00BA7552"/>
    <w:rsid w:val="00BA7BF7"/>
    <w:rsid w:val="00BB00EF"/>
    <w:rsid w:val="00BB7402"/>
    <w:rsid w:val="00BB7434"/>
    <w:rsid w:val="00BB7CFD"/>
    <w:rsid w:val="00BC0E48"/>
    <w:rsid w:val="00BC71BB"/>
    <w:rsid w:val="00BD155A"/>
    <w:rsid w:val="00BD25E9"/>
    <w:rsid w:val="00BD29B4"/>
    <w:rsid w:val="00BD345D"/>
    <w:rsid w:val="00BD7004"/>
    <w:rsid w:val="00BE4C51"/>
    <w:rsid w:val="00BE4D0B"/>
    <w:rsid w:val="00BF1A90"/>
    <w:rsid w:val="00BF4372"/>
    <w:rsid w:val="00BF5C81"/>
    <w:rsid w:val="00BF73DF"/>
    <w:rsid w:val="00C007CC"/>
    <w:rsid w:val="00C00A2A"/>
    <w:rsid w:val="00C01724"/>
    <w:rsid w:val="00C02421"/>
    <w:rsid w:val="00C056E2"/>
    <w:rsid w:val="00C05B39"/>
    <w:rsid w:val="00C063F5"/>
    <w:rsid w:val="00C06428"/>
    <w:rsid w:val="00C07A4D"/>
    <w:rsid w:val="00C10B18"/>
    <w:rsid w:val="00C136CC"/>
    <w:rsid w:val="00C14346"/>
    <w:rsid w:val="00C14EAC"/>
    <w:rsid w:val="00C16C7E"/>
    <w:rsid w:val="00C22353"/>
    <w:rsid w:val="00C263C7"/>
    <w:rsid w:val="00C33D42"/>
    <w:rsid w:val="00C33E66"/>
    <w:rsid w:val="00C400B8"/>
    <w:rsid w:val="00C4311E"/>
    <w:rsid w:val="00C457BA"/>
    <w:rsid w:val="00C461F8"/>
    <w:rsid w:val="00C479BE"/>
    <w:rsid w:val="00C57C3A"/>
    <w:rsid w:val="00C60FC8"/>
    <w:rsid w:val="00C6489F"/>
    <w:rsid w:val="00C648E7"/>
    <w:rsid w:val="00C716AA"/>
    <w:rsid w:val="00C81DF1"/>
    <w:rsid w:val="00C83B17"/>
    <w:rsid w:val="00C842E0"/>
    <w:rsid w:val="00C84653"/>
    <w:rsid w:val="00C87C03"/>
    <w:rsid w:val="00C930EC"/>
    <w:rsid w:val="00C93A0F"/>
    <w:rsid w:val="00C95024"/>
    <w:rsid w:val="00C96145"/>
    <w:rsid w:val="00C97050"/>
    <w:rsid w:val="00CA7686"/>
    <w:rsid w:val="00CB2388"/>
    <w:rsid w:val="00CB3E97"/>
    <w:rsid w:val="00CB47A6"/>
    <w:rsid w:val="00CB589F"/>
    <w:rsid w:val="00CC1E3C"/>
    <w:rsid w:val="00CC2CF5"/>
    <w:rsid w:val="00CD01EA"/>
    <w:rsid w:val="00CD1598"/>
    <w:rsid w:val="00CD5CF9"/>
    <w:rsid w:val="00CE0F28"/>
    <w:rsid w:val="00CE2553"/>
    <w:rsid w:val="00CE611A"/>
    <w:rsid w:val="00CE679C"/>
    <w:rsid w:val="00CF17EA"/>
    <w:rsid w:val="00CF41F0"/>
    <w:rsid w:val="00CF4255"/>
    <w:rsid w:val="00CF4A68"/>
    <w:rsid w:val="00D022DD"/>
    <w:rsid w:val="00D0311B"/>
    <w:rsid w:val="00D0551B"/>
    <w:rsid w:val="00D102FF"/>
    <w:rsid w:val="00D1325E"/>
    <w:rsid w:val="00D2057E"/>
    <w:rsid w:val="00D2203F"/>
    <w:rsid w:val="00D25FBD"/>
    <w:rsid w:val="00D3001D"/>
    <w:rsid w:val="00D300D4"/>
    <w:rsid w:val="00D3118B"/>
    <w:rsid w:val="00D321A0"/>
    <w:rsid w:val="00D327C4"/>
    <w:rsid w:val="00D355C9"/>
    <w:rsid w:val="00D3731A"/>
    <w:rsid w:val="00D42492"/>
    <w:rsid w:val="00D43310"/>
    <w:rsid w:val="00D43415"/>
    <w:rsid w:val="00D44509"/>
    <w:rsid w:val="00D44E43"/>
    <w:rsid w:val="00D53513"/>
    <w:rsid w:val="00D57D11"/>
    <w:rsid w:val="00D615FE"/>
    <w:rsid w:val="00D61C96"/>
    <w:rsid w:val="00D62215"/>
    <w:rsid w:val="00D622A0"/>
    <w:rsid w:val="00D62357"/>
    <w:rsid w:val="00D63E38"/>
    <w:rsid w:val="00D75BE9"/>
    <w:rsid w:val="00D77A58"/>
    <w:rsid w:val="00D87069"/>
    <w:rsid w:val="00D8715F"/>
    <w:rsid w:val="00D8777C"/>
    <w:rsid w:val="00D90637"/>
    <w:rsid w:val="00D90A4E"/>
    <w:rsid w:val="00D92FCA"/>
    <w:rsid w:val="00DA16FF"/>
    <w:rsid w:val="00DA4BD6"/>
    <w:rsid w:val="00DA5C57"/>
    <w:rsid w:val="00DA68C7"/>
    <w:rsid w:val="00DA6908"/>
    <w:rsid w:val="00DB18B1"/>
    <w:rsid w:val="00DB2974"/>
    <w:rsid w:val="00DB3E82"/>
    <w:rsid w:val="00DB512B"/>
    <w:rsid w:val="00DB60DB"/>
    <w:rsid w:val="00DC0A6D"/>
    <w:rsid w:val="00DC2144"/>
    <w:rsid w:val="00DC3AB7"/>
    <w:rsid w:val="00DC3DAE"/>
    <w:rsid w:val="00DC5182"/>
    <w:rsid w:val="00DC5845"/>
    <w:rsid w:val="00DD0682"/>
    <w:rsid w:val="00DD2B42"/>
    <w:rsid w:val="00DE6FB8"/>
    <w:rsid w:val="00DF486B"/>
    <w:rsid w:val="00DF4D14"/>
    <w:rsid w:val="00E003AF"/>
    <w:rsid w:val="00E0518B"/>
    <w:rsid w:val="00E06BAB"/>
    <w:rsid w:val="00E1010F"/>
    <w:rsid w:val="00E16545"/>
    <w:rsid w:val="00E2230B"/>
    <w:rsid w:val="00E22FC0"/>
    <w:rsid w:val="00E23CD9"/>
    <w:rsid w:val="00E23F04"/>
    <w:rsid w:val="00E31BCC"/>
    <w:rsid w:val="00E31FE7"/>
    <w:rsid w:val="00E429CD"/>
    <w:rsid w:val="00E45EB1"/>
    <w:rsid w:val="00E47029"/>
    <w:rsid w:val="00E56E88"/>
    <w:rsid w:val="00E6053D"/>
    <w:rsid w:val="00E61281"/>
    <w:rsid w:val="00E643BD"/>
    <w:rsid w:val="00E7038C"/>
    <w:rsid w:val="00E70732"/>
    <w:rsid w:val="00E70CD3"/>
    <w:rsid w:val="00E7189F"/>
    <w:rsid w:val="00E72046"/>
    <w:rsid w:val="00E736C4"/>
    <w:rsid w:val="00E73F6C"/>
    <w:rsid w:val="00E749A5"/>
    <w:rsid w:val="00E823D2"/>
    <w:rsid w:val="00E83B47"/>
    <w:rsid w:val="00E8515F"/>
    <w:rsid w:val="00E85600"/>
    <w:rsid w:val="00E85771"/>
    <w:rsid w:val="00E9034F"/>
    <w:rsid w:val="00E92A48"/>
    <w:rsid w:val="00E970ED"/>
    <w:rsid w:val="00E97BE1"/>
    <w:rsid w:val="00EA03A1"/>
    <w:rsid w:val="00EA18B3"/>
    <w:rsid w:val="00EA2C22"/>
    <w:rsid w:val="00EA459A"/>
    <w:rsid w:val="00EB36F6"/>
    <w:rsid w:val="00EB3A10"/>
    <w:rsid w:val="00EB4102"/>
    <w:rsid w:val="00EB4311"/>
    <w:rsid w:val="00EB5482"/>
    <w:rsid w:val="00ED651C"/>
    <w:rsid w:val="00ED7E4C"/>
    <w:rsid w:val="00EE09A6"/>
    <w:rsid w:val="00EE606A"/>
    <w:rsid w:val="00EE63A2"/>
    <w:rsid w:val="00EE691C"/>
    <w:rsid w:val="00EF526E"/>
    <w:rsid w:val="00EF54E2"/>
    <w:rsid w:val="00F00446"/>
    <w:rsid w:val="00F01B7B"/>
    <w:rsid w:val="00F02734"/>
    <w:rsid w:val="00F03CCB"/>
    <w:rsid w:val="00F057E7"/>
    <w:rsid w:val="00F07264"/>
    <w:rsid w:val="00F10145"/>
    <w:rsid w:val="00F10598"/>
    <w:rsid w:val="00F11118"/>
    <w:rsid w:val="00F12F85"/>
    <w:rsid w:val="00F13515"/>
    <w:rsid w:val="00F201AC"/>
    <w:rsid w:val="00F206EC"/>
    <w:rsid w:val="00F23B37"/>
    <w:rsid w:val="00F24603"/>
    <w:rsid w:val="00F25E2F"/>
    <w:rsid w:val="00F27C41"/>
    <w:rsid w:val="00F3213F"/>
    <w:rsid w:val="00F32A45"/>
    <w:rsid w:val="00F345D7"/>
    <w:rsid w:val="00F3583C"/>
    <w:rsid w:val="00F35866"/>
    <w:rsid w:val="00F43BF3"/>
    <w:rsid w:val="00F45006"/>
    <w:rsid w:val="00F463E2"/>
    <w:rsid w:val="00F466A9"/>
    <w:rsid w:val="00F51B50"/>
    <w:rsid w:val="00F53BF6"/>
    <w:rsid w:val="00F53CF2"/>
    <w:rsid w:val="00F565FA"/>
    <w:rsid w:val="00F702FD"/>
    <w:rsid w:val="00F70A31"/>
    <w:rsid w:val="00F814D9"/>
    <w:rsid w:val="00F81ECF"/>
    <w:rsid w:val="00F83F42"/>
    <w:rsid w:val="00F86F38"/>
    <w:rsid w:val="00F86F46"/>
    <w:rsid w:val="00F96CC1"/>
    <w:rsid w:val="00FA1593"/>
    <w:rsid w:val="00FA15E3"/>
    <w:rsid w:val="00FA2890"/>
    <w:rsid w:val="00FA2EAC"/>
    <w:rsid w:val="00FA72EE"/>
    <w:rsid w:val="00FB0404"/>
    <w:rsid w:val="00FB0530"/>
    <w:rsid w:val="00FB2396"/>
    <w:rsid w:val="00FB6235"/>
    <w:rsid w:val="00FC4E9D"/>
    <w:rsid w:val="00FC576A"/>
    <w:rsid w:val="00FC755D"/>
    <w:rsid w:val="00FC7940"/>
    <w:rsid w:val="00FC7B0B"/>
    <w:rsid w:val="00FD027D"/>
    <w:rsid w:val="00FD2475"/>
    <w:rsid w:val="00FD4B19"/>
    <w:rsid w:val="00FD760E"/>
    <w:rsid w:val="00FE1000"/>
    <w:rsid w:val="00FF4C84"/>
    <w:rsid w:val="00FF4DC9"/>
    <w:rsid w:val="00FF4E82"/>
    <w:rsid w:val="00FF56C1"/>
    <w:rsid w:val="011873A2"/>
    <w:rsid w:val="012313A8"/>
    <w:rsid w:val="014A102B"/>
    <w:rsid w:val="015D0D5E"/>
    <w:rsid w:val="01657C13"/>
    <w:rsid w:val="01680F6F"/>
    <w:rsid w:val="01A3073B"/>
    <w:rsid w:val="01F51E64"/>
    <w:rsid w:val="022E26FA"/>
    <w:rsid w:val="024141DC"/>
    <w:rsid w:val="02493090"/>
    <w:rsid w:val="02B70580"/>
    <w:rsid w:val="02CD1881"/>
    <w:rsid w:val="02DF23A6"/>
    <w:rsid w:val="0332737F"/>
    <w:rsid w:val="03566C68"/>
    <w:rsid w:val="039D3184"/>
    <w:rsid w:val="03B71948"/>
    <w:rsid w:val="04587B1F"/>
    <w:rsid w:val="046B19E4"/>
    <w:rsid w:val="04F67133"/>
    <w:rsid w:val="04FD75EC"/>
    <w:rsid w:val="05465FAD"/>
    <w:rsid w:val="05A653AE"/>
    <w:rsid w:val="076773FB"/>
    <w:rsid w:val="07683FB9"/>
    <w:rsid w:val="077E4DDF"/>
    <w:rsid w:val="07A97DBB"/>
    <w:rsid w:val="083E7B40"/>
    <w:rsid w:val="086D61DF"/>
    <w:rsid w:val="08B059FD"/>
    <w:rsid w:val="08E91129"/>
    <w:rsid w:val="09021D80"/>
    <w:rsid w:val="094B408C"/>
    <w:rsid w:val="0994646D"/>
    <w:rsid w:val="09EE627A"/>
    <w:rsid w:val="0A217F92"/>
    <w:rsid w:val="0A347283"/>
    <w:rsid w:val="0AB15C77"/>
    <w:rsid w:val="0AE14A84"/>
    <w:rsid w:val="0AF3691E"/>
    <w:rsid w:val="0B0C55A3"/>
    <w:rsid w:val="0B376B90"/>
    <w:rsid w:val="0B5163CB"/>
    <w:rsid w:val="0B7F5460"/>
    <w:rsid w:val="0C4A48D2"/>
    <w:rsid w:val="0C5F503E"/>
    <w:rsid w:val="0C8278CB"/>
    <w:rsid w:val="0D4C346C"/>
    <w:rsid w:val="0DCA7B76"/>
    <w:rsid w:val="0DE029F4"/>
    <w:rsid w:val="0DF50262"/>
    <w:rsid w:val="0E002722"/>
    <w:rsid w:val="0E270CC8"/>
    <w:rsid w:val="0E300E5B"/>
    <w:rsid w:val="0E545297"/>
    <w:rsid w:val="0E5C7E47"/>
    <w:rsid w:val="0E715E49"/>
    <w:rsid w:val="0E7A1D93"/>
    <w:rsid w:val="0E8A2B9E"/>
    <w:rsid w:val="0EC14C20"/>
    <w:rsid w:val="0F371E04"/>
    <w:rsid w:val="0F64738D"/>
    <w:rsid w:val="0F784C7F"/>
    <w:rsid w:val="0FB423A3"/>
    <w:rsid w:val="0FB56666"/>
    <w:rsid w:val="102C3F52"/>
    <w:rsid w:val="10374E70"/>
    <w:rsid w:val="116A1B65"/>
    <w:rsid w:val="11C96496"/>
    <w:rsid w:val="12150B9E"/>
    <w:rsid w:val="122545AB"/>
    <w:rsid w:val="12296F3B"/>
    <w:rsid w:val="12C93CEA"/>
    <w:rsid w:val="12F22E90"/>
    <w:rsid w:val="12F36B1F"/>
    <w:rsid w:val="1339156A"/>
    <w:rsid w:val="13510A76"/>
    <w:rsid w:val="13791AF6"/>
    <w:rsid w:val="13A82884"/>
    <w:rsid w:val="13C92283"/>
    <w:rsid w:val="144462DC"/>
    <w:rsid w:val="148A2CBD"/>
    <w:rsid w:val="14E77BC9"/>
    <w:rsid w:val="14FE5F5C"/>
    <w:rsid w:val="151B6865"/>
    <w:rsid w:val="152A593C"/>
    <w:rsid w:val="154C316C"/>
    <w:rsid w:val="156763C5"/>
    <w:rsid w:val="158076D1"/>
    <w:rsid w:val="159C413C"/>
    <w:rsid w:val="15BC7201"/>
    <w:rsid w:val="15C84001"/>
    <w:rsid w:val="15CC0D17"/>
    <w:rsid w:val="16564712"/>
    <w:rsid w:val="16D32DA2"/>
    <w:rsid w:val="16E01DBD"/>
    <w:rsid w:val="16F5336E"/>
    <w:rsid w:val="16FF7650"/>
    <w:rsid w:val="17255A22"/>
    <w:rsid w:val="17620A24"/>
    <w:rsid w:val="17D96E7C"/>
    <w:rsid w:val="18712D9B"/>
    <w:rsid w:val="18876970"/>
    <w:rsid w:val="18A62B93"/>
    <w:rsid w:val="18EE507D"/>
    <w:rsid w:val="18EE7228"/>
    <w:rsid w:val="198B3B37"/>
    <w:rsid w:val="199D3F96"/>
    <w:rsid w:val="19A62B01"/>
    <w:rsid w:val="19B14317"/>
    <w:rsid w:val="19EB6D74"/>
    <w:rsid w:val="1A0758B3"/>
    <w:rsid w:val="1AA17FB0"/>
    <w:rsid w:val="1BD17F27"/>
    <w:rsid w:val="1BD361DD"/>
    <w:rsid w:val="1C2B29B8"/>
    <w:rsid w:val="1C613672"/>
    <w:rsid w:val="1CA97193"/>
    <w:rsid w:val="1CB24B8F"/>
    <w:rsid w:val="1CF21731"/>
    <w:rsid w:val="1D0205B4"/>
    <w:rsid w:val="1D2578FF"/>
    <w:rsid w:val="1D4C1EFC"/>
    <w:rsid w:val="1D9531E9"/>
    <w:rsid w:val="1DB62318"/>
    <w:rsid w:val="1DF33503"/>
    <w:rsid w:val="1E616B51"/>
    <w:rsid w:val="1E7D4396"/>
    <w:rsid w:val="1EAE2E61"/>
    <w:rsid w:val="1EEA56C8"/>
    <w:rsid w:val="1F9D27E8"/>
    <w:rsid w:val="1FA8152E"/>
    <w:rsid w:val="1FB84222"/>
    <w:rsid w:val="1FD76473"/>
    <w:rsid w:val="1FDE70B6"/>
    <w:rsid w:val="1FF26CFA"/>
    <w:rsid w:val="1FF84119"/>
    <w:rsid w:val="203C5B8B"/>
    <w:rsid w:val="205E6558"/>
    <w:rsid w:val="20A8631B"/>
    <w:rsid w:val="20CD4A5D"/>
    <w:rsid w:val="20F04BA1"/>
    <w:rsid w:val="20FB5A46"/>
    <w:rsid w:val="21864567"/>
    <w:rsid w:val="2188160C"/>
    <w:rsid w:val="22357731"/>
    <w:rsid w:val="22714212"/>
    <w:rsid w:val="22844382"/>
    <w:rsid w:val="22883309"/>
    <w:rsid w:val="22AE1DE0"/>
    <w:rsid w:val="22FD5AA5"/>
    <w:rsid w:val="23130E25"/>
    <w:rsid w:val="235B59DD"/>
    <w:rsid w:val="23872933"/>
    <w:rsid w:val="23A579AE"/>
    <w:rsid w:val="23C6058D"/>
    <w:rsid w:val="23D17451"/>
    <w:rsid w:val="242B68BB"/>
    <w:rsid w:val="244A1145"/>
    <w:rsid w:val="24E21ED1"/>
    <w:rsid w:val="24F57667"/>
    <w:rsid w:val="25037508"/>
    <w:rsid w:val="251D5F8B"/>
    <w:rsid w:val="252E58E0"/>
    <w:rsid w:val="253B6386"/>
    <w:rsid w:val="254F6588"/>
    <w:rsid w:val="25503432"/>
    <w:rsid w:val="25D72E36"/>
    <w:rsid w:val="25F0494F"/>
    <w:rsid w:val="265420E2"/>
    <w:rsid w:val="26812549"/>
    <w:rsid w:val="26C25F08"/>
    <w:rsid w:val="272D45D3"/>
    <w:rsid w:val="27321A96"/>
    <w:rsid w:val="27800A53"/>
    <w:rsid w:val="28A11469"/>
    <w:rsid w:val="28B07116"/>
    <w:rsid w:val="29060913"/>
    <w:rsid w:val="291D5522"/>
    <w:rsid w:val="298406F1"/>
    <w:rsid w:val="2A5C1303"/>
    <w:rsid w:val="2A643999"/>
    <w:rsid w:val="2A660D80"/>
    <w:rsid w:val="2A817D22"/>
    <w:rsid w:val="2AC84BEB"/>
    <w:rsid w:val="2ADD3945"/>
    <w:rsid w:val="2AF66BF8"/>
    <w:rsid w:val="2B3B0BC4"/>
    <w:rsid w:val="2B3C60B2"/>
    <w:rsid w:val="2B5B5BE7"/>
    <w:rsid w:val="2B5C1C1C"/>
    <w:rsid w:val="2B61581B"/>
    <w:rsid w:val="2C18486D"/>
    <w:rsid w:val="2C2021F1"/>
    <w:rsid w:val="2C2D52F0"/>
    <w:rsid w:val="2C7E7C57"/>
    <w:rsid w:val="2CC90BAC"/>
    <w:rsid w:val="2CE96A4E"/>
    <w:rsid w:val="2D0C28EF"/>
    <w:rsid w:val="2D352DB5"/>
    <w:rsid w:val="2D514F25"/>
    <w:rsid w:val="2DAC25A2"/>
    <w:rsid w:val="2DEF06E0"/>
    <w:rsid w:val="2E045A14"/>
    <w:rsid w:val="2E5A5B41"/>
    <w:rsid w:val="2EE541EA"/>
    <w:rsid w:val="2EEA677C"/>
    <w:rsid w:val="2F023E5D"/>
    <w:rsid w:val="2F044F39"/>
    <w:rsid w:val="2F1F537A"/>
    <w:rsid w:val="2F324D29"/>
    <w:rsid w:val="2F385B92"/>
    <w:rsid w:val="2F450A32"/>
    <w:rsid w:val="2F4B47DC"/>
    <w:rsid w:val="2FA67D69"/>
    <w:rsid w:val="2FB31D88"/>
    <w:rsid w:val="2FEB68F0"/>
    <w:rsid w:val="30146F4B"/>
    <w:rsid w:val="3085440E"/>
    <w:rsid w:val="309A2B85"/>
    <w:rsid w:val="30D83E5D"/>
    <w:rsid w:val="30E803C0"/>
    <w:rsid w:val="314C0A02"/>
    <w:rsid w:val="31501496"/>
    <w:rsid w:val="3150593A"/>
    <w:rsid w:val="31796E71"/>
    <w:rsid w:val="32147E05"/>
    <w:rsid w:val="321D3A6E"/>
    <w:rsid w:val="32204FFA"/>
    <w:rsid w:val="32565639"/>
    <w:rsid w:val="327A684D"/>
    <w:rsid w:val="330304B7"/>
    <w:rsid w:val="33A51F6D"/>
    <w:rsid w:val="33AB28FC"/>
    <w:rsid w:val="33C4475B"/>
    <w:rsid w:val="33D939C5"/>
    <w:rsid w:val="340E164C"/>
    <w:rsid w:val="342A4220"/>
    <w:rsid w:val="3452437A"/>
    <w:rsid w:val="34710308"/>
    <w:rsid w:val="348C4512"/>
    <w:rsid w:val="34967489"/>
    <w:rsid w:val="34D36666"/>
    <w:rsid w:val="34DB74E4"/>
    <w:rsid w:val="353F062D"/>
    <w:rsid w:val="354F0EB2"/>
    <w:rsid w:val="35C40AB2"/>
    <w:rsid w:val="35C56FA9"/>
    <w:rsid w:val="35CB1A33"/>
    <w:rsid w:val="3626684C"/>
    <w:rsid w:val="3687595A"/>
    <w:rsid w:val="36B3145D"/>
    <w:rsid w:val="36CA26E0"/>
    <w:rsid w:val="36EF0966"/>
    <w:rsid w:val="375717D0"/>
    <w:rsid w:val="375C1E61"/>
    <w:rsid w:val="378F3DC7"/>
    <w:rsid w:val="37BB0481"/>
    <w:rsid w:val="37BD00AD"/>
    <w:rsid w:val="37CF580A"/>
    <w:rsid w:val="37F63760"/>
    <w:rsid w:val="388B531A"/>
    <w:rsid w:val="38CE5AC2"/>
    <w:rsid w:val="391B682D"/>
    <w:rsid w:val="399D7B23"/>
    <w:rsid w:val="39D709A6"/>
    <w:rsid w:val="39ED2322"/>
    <w:rsid w:val="3A8C0A4A"/>
    <w:rsid w:val="3AA06FEA"/>
    <w:rsid w:val="3AAE4962"/>
    <w:rsid w:val="3AE72E6B"/>
    <w:rsid w:val="3B435978"/>
    <w:rsid w:val="3BA743A8"/>
    <w:rsid w:val="3BB62595"/>
    <w:rsid w:val="3BBD1E1E"/>
    <w:rsid w:val="3BCE402B"/>
    <w:rsid w:val="3C1A7AC2"/>
    <w:rsid w:val="3C57077D"/>
    <w:rsid w:val="3C5A58BF"/>
    <w:rsid w:val="3CEF74FA"/>
    <w:rsid w:val="3D5E3118"/>
    <w:rsid w:val="3D7F493E"/>
    <w:rsid w:val="3DB7359E"/>
    <w:rsid w:val="3DD05E38"/>
    <w:rsid w:val="3DE226B9"/>
    <w:rsid w:val="3E130610"/>
    <w:rsid w:val="3E453441"/>
    <w:rsid w:val="3E70365E"/>
    <w:rsid w:val="3E9C3F6D"/>
    <w:rsid w:val="3EA34FCF"/>
    <w:rsid w:val="3F2301EA"/>
    <w:rsid w:val="3F654642"/>
    <w:rsid w:val="3FD4578C"/>
    <w:rsid w:val="3FE91433"/>
    <w:rsid w:val="40070759"/>
    <w:rsid w:val="40632F94"/>
    <w:rsid w:val="4093139F"/>
    <w:rsid w:val="409C4D60"/>
    <w:rsid w:val="40DE086C"/>
    <w:rsid w:val="41417E8D"/>
    <w:rsid w:val="41D35EF7"/>
    <w:rsid w:val="41E819E5"/>
    <w:rsid w:val="42201C89"/>
    <w:rsid w:val="42437B07"/>
    <w:rsid w:val="42485053"/>
    <w:rsid w:val="42C44CD1"/>
    <w:rsid w:val="43192030"/>
    <w:rsid w:val="434972B8"/>
    <w:rsid w:val="43A7763B"/>
    <w:rsid w:val="43FE2FD4"/>
    <w:rsid w:val="44015393"/>
    <w:rsid w:val="44395BB0"/>
    <w:rsid w:val="447514E8"/>
    <w:rsid w:val="44C60974"/>
    <w:rsid w:val="45252F0E"/>
    <w:rsid w:val="452625FB"/>
    <w:rsid w:val="459E11B0"/>
    <w:rsid w:val="46145CC4"/>
    <w:rsid w:val="46315432"/>
    <w:rsid w:val="46537607"/>
    <w:rsid w:val="465D0485"/>
    <w:rsid w:val="469B6566"/>
    <w:rsid w:val="46B34549"/>
    <w:rsid w:val="46C87AD8"/>
    <w:rsid w:val="46DE61CC"/>
    <w:rsid w:val="46EE5581"/>
    <w:rsid w:val="471575B4"/>
    <w:rsid w:val="475C6A88"/>
    <w:rsid w:val="47716EF0"/>
    <w:rsid w:val="479B74B7"/>
    <w:rsid w:val="47D31E1A"/>
    <w:rsid w:val="48BA5CCE"/>
    <w:rsid w:val="48E66C0F"/>
    <w:rsid w:val="496800E1"/>
    <w:rsid w:val="49A65073"/>
    <w:rsid w:val="49FE1F7F"/>
    <w:rsid w:val="4A171D9E"/>
    <w:rsid w:val="4A4911A0"/>
    <w:rsid w:val="4A7E04C4"/>
    <w:rsid w:val="4B0435C5"/>
    <w:rsid w:val="4B686FE5"/>
    <w:rsid w:val="4B734150"/>
    <w:rsid w:val="4C0A0767"/>
    <w:rsid w:val="4C1379BD"/>
    <w:rsid w:val="4C177328"/>
    <w:rsid w:val="4C9C4613"/>
    <w:rsid w:val="4CB54D28"/>
    <w:rsid w:val="4CE606B4"/>
    <w:rsid w:val="4D477799"/>
    <w:rsid w:val="4D8E7869"/>
    <w:rsid w:val="4D974B3C"/>
    <w:rsid w:val="4DDD1480"/>
    <w:rsid w:val="4DE43A02"/>
    <w:rsid w:val="4E2A5CC0"/>
    <w:rsid w:val="4E825093"/>
    <w:rsid w:val="4ED47F2E"/>
    <w:rsid w:val="4EDB63EB"/>
    <w:rsid w:val="4F10078B"/>
    <w:rsid w:val="4F110803"/>
    <w:rsid w:val="4F1418FD"/>
    <w:rsid w:val="4F324B13"/>
    <w:rsid w:val="4F6B3C13"/>
    <w:rsid w:val="50485E90"/>
    <w:rsid w:val="5059420E"/>
    <w:rsid w:val="507516D4"/>
    <w:rsid w:val="50A9767D"/>
    <w:rsid w:val="50BA027D"/>
    <w:rsid w:val="50FE158E"/>
    <w:rsid w:val="513D17B5"/>
    <w:rsid w:val="5161464A"/>
    <w:rsid w:val="51A72EFC"/>
    <w:rsid w:val="522375E6"/>
    <w:rsid w:val="530618DA"/>
    <w:rsid w:val="531E7D30"/>
    <w:rsid w:val="533E519B"/>
    <w:rsid w:val="5364541B"/>
    <w:rsid w:val="53883BA0"/>
    <w:rsid w:val="53A707CC"/>
    <w:rsid w:val="54107C58"/>
    <w:rsid w:val="5468705C"/>
    <w:rsid w:val="546D0CB0"/>
    <w:rsid w:val="54744B41"/>
    <w:rsid w:val="55456CB4"/>
    <w:rsid w:val="55694FBD"/>
    <w:rsid w:val="55724B70"/>
    <w:rsid w:val="56065F00"/>
    <w:rsid w:val="566847A1"/>
    <w:rsid w:val="568A7075"/>
    <w:rsid w:val="56E9366F"/>
    <w:rsid w:val="57133BC2"/>
    <w:rsid w:val="5717697A"/>
    <w:rsid w:val="576717CF"/>
    <w:rsid w:val="584E15B4"/>
    <w:rsid w:val="588D4128"/>
    <w:rsid w:val="58AC1A08"/>
    <w:rsid w:val="58FB6261"/>
    <w:rsid w:val="59083485"/>
    <w:rsid w:val="59771406"/>
    <w:rsid w:val="599E4BE5"/>
    <w:rsid w:val="59C36D97"/>
    <w:rsid w:val="59E4105E"/>
    <w:rsid w:val="5A19289A"/>
    <w:rsid w:val="5A227901"/>
    <w:rsid w:val="5A31694B"/>
    <w:rsid w:val="5A376445"/>
    <w:rsid w:val="5A5C1F93"/>
    <w:rsid w:val="5A9348C2"/>
    <w:rsid w:val="5AC22B0A"/>
    <w:rsid w:val="5ACD5A46"/>
    <w:rsid w:val="5AD07F14"/>
    <w:rsid w:val="5C0F5926"/>
    <w:rsid w:val="5C400F4A"/>
    <w:rsid w:val="5C434EF1"/>
    <w:rsid w:val="5C8B76A2"/>
    <w:rsid w:val="5CA565B3"/>
    <w:rsid w:val="5CCB5CF1"/>
    <w:rsid w:val="5CF92B22"/>
    <w:rsid w:val="5D2C3FDA"/>
    <w:rsid w:val="5D5C2DED"/>
    <w:rsid w:val="5D9C1821"/>
    <w:rsid w:val="5DCA5FA9"/>
    <w:rsid w:val="5DCB1D21"/>
    <w:rsid w:val="5DCF3955"/>
    <w:rsid w:val="5E376464"/>
    <w:rsid w:val="5ED54C05"/>
    <w:rsid w:val="5EFD0E28"/>
    <w:rsid w:val="5F0D0C25"/>
    <w:rsid w:val="5F5F2ED4"/>
    <w:rsid w:val="5F8403D9"/>
    <w:rsid w:val="601B5377"/>
    <w:rsid w:val="60870181"/>
    <w:rsid w:val="60890A82"/>
    <w:rsid w:val="60BD0047"/>
    <w:rsid w:val="60D40EEC"/>
    <w:rsid w:val="60F477A5"/>
    <w:rsid w:val="61091C4C"/>
    <w:rsid w:val="61261CB7"/>
    <w:rsid w:val="61521822"/>
    <w:rsid w:val="61527CCB"/>
    <w:rsid w:val="620C1515"/>
    <w:rsid w:val="620F1D1A"/>
    <w:rsid w:val="627137D3"/>
    <w:rsid w:val="63124D62"/>
    <w:rsid w:val="631666C8"/>
    <w:rsid w:val="63617FBE"/>
    <w:rsid w:val="63676D1D"/>
    <w:rsid w:val="63DC07E4"/>
    <w:rsid w:val="64194088"/>
    <w:rsid w:val="6427659D"/>
    <w:rsid w:val="64462101"/>
    <w:rsid w:val="64AF5EF8"/>
    <w:rsid w:val="64E717DD"/>
    <w:rsid w:val="65115F6F"/>
    <w:rsid w:val="655469E6"/>
    <w:rsid w:val="65623337"/>
    <w:rsid w:val="65AE19FB"/>
    <w:rsid w:val="660B4FE0"/>
    <w:rsid w:val="66255E50"/>
    <w:rsid w:val="665054B9"/>
    <w:rsid w:val="665A4129"/>
    <w:rsid w:val="667E5B82"/>
    <w:rsid w:val="66C145A2"/>
    <w:rsid w:val="6707201B"/>
    <w:rsid w:val="67620F81"/>
    <w:rsid w:val="67817332"/>
    <w:rsid w:val="67BB23D1"/>
    <w:rsid w:val="67C1041C"/>
    <w:rsid w:val="681A5D7E"/>
    <w:rsid w:val="681C3CF1"/>
    <w:rsid w:val="68213065"/>
    <w:rsid w:val="68222736"/>
    <w:rsid w:val="687F09E7"/>
    <w:rsid w:val="689418B7"/>
    <w:rsid w:val="68C83273"/>
    <w:rsid w:val="69096BB1"/>
    <w:rsid w:val="69BE2739"/>
    <w:rsid w:val="69F4762C"/>
    <w:rsid w:val="6A1E79B5"/>
    <w:rsid w:val="6A247220"/>
    <w:rsid w:val="6A9B2F97"/>
    <w:rsid w:val="6AAB1A1A"/>
    <w:rsid w:val="6ABF7029"/>
    <w:rsid w:val="6AE0505D"/>
    <w:rsid w:val="6B1752E4"/>
    <w:rsid w:val="6B272C8C"/>
    <w:rsid w:val="6B2A62D8"/>
    <w:rsid w:val="6B60471F"/>
    <w:rsid w:val="6B6C6A52"/>
    <w:rsid w:val="6BD0341F"/>
    <w:rsid w:val="6CB21746"/>
    <w:rsid w:val="6CDA2932"/>
    <w:rsid w:val="6D10208A"/>
    <w:rsid w:val="6D261239"/>
    <w:rsid w:val="6D37114C"/>
    <w:rsid w:val="6D5674B5"/>
    <w:rsid w:val="6D7C7E63"/>
    <w:rsid w:val="6D9D00B9"/>
    <w:rsid w:val="6E6D6F00"/>
    <w:rsid w:val="6E761170"/>
    <w:rsid w:val="6E930D4C"/>
    <w:rsid w:val="6EC46A44"/>
    <w:rsid w:val="6EF235B1"/>
    <w:rsid w:val="6EFE405D"/>
    <w:rsid w:val="6F506FDA"/>
    <w:rsid w:val="6FBB53E0"/>
    <w:rsid w:val="6FBC4FF3"/>
    <w:rsid w:val="702E6D7F"/>
    <w:rsid w:val="70DA2BBA"/>
    <w:rsid w:val="7143063C"/>
    <w:rsid w:val="71724535"/>
    <w:rsid w:val="71BE1CFC"/>
    <w:rsid w:val="72051608"/>
    <w:rsid w:val="720C498A"/>
    <w:rsid w:val="728E091D"/>
    <w:rsid w:val="72B9080B"/>
    <w:rsid w:val="72CC383B"/>
    <w:rsid w:val="72F00643"/>
    <w:rsid w:val="734C1296"/>
    <w:rsid w:val="7363074E"/>
    <w:rsid w:val="73920501"/>
    <w:rsid w:val="73A222DE"/>
    <w:rsid w:val="73FD540D"/>
    <w:rsid w:val="74104CF9"/>
    <w:rsid w:val="741A351F"/>
    <w:rsid w:val="74A21C72"/>
    <w:rsid w:val="74D9372B"/>
    <w:rsid w:val="756845CD"/>
    <w:rsid w:val="76051367"/>
    <w:rsid w:val="76100D47"/>
    <w:rsid w:val="76472434"/>
    <w:rsid w:val="76AE4262"/>
    <w:rsid w:val="76D25CE2"/>
    <w:rsid w:val="77040325"/>
    <w:rsid w:val="773A6F2D"/>
    <w:rsid w:val="77471504"/>
    <w:rsid w:val="777A5D04"/>
    <w:rsid w:val="778346E1"/>
    <w:rsid w:val="77BE6726"/>
    <w:rsid w:val="77E376E2"/>
    <w:rsid w:val="78411105"/>
    <w:rsid w:val="79052723"/>
    <w:rsid w:val="790C0BE9"/>
    <w:rsid w:val="792F2C95"/>
    <w:rsid w:val="79461218"/>
    <w:rsid w:val="79932ACB"/>
    <w:rsid w:val="79B758AB"/>
    <w:rsid w:val="79C41AA8"/>
    <w:rsid w:val="79CC490C"/>
    <w:rsid w:val="79CC49FF"/>
    <w:rsid w:val="7A265451"/>
    <w:rsid w:val="7A3564D9"/>
    <w:rsid w:val="7A4163E3"/>
    <w:rsid w:val="7A4F18B8"/>
    <w:rsid w:val="7A5213A8"/>
    <w:rsid w:val="7A7D2348"/>
    <w:rsid w:val="7B5E1514"/>
    <w:rsid w:val="7B6E0463"/>
    <w:rsid w:val="7C602CE5"/>
    <w:rsid w:val="7CCB71F0"/>
    <w:rsid w:val="7D226713"/>
    <w:rsid w:val="7D74110A"/>
    <w:rsid w:val="7D84569F"/>
    <w:rsid w:val="7D845D1C"/>
    <w:rsid w:val="7D921593"/>
    <w:rsid w:val="7DB30888"/>
    <w:rsid w:val="7E0E3838"/>
    <w:rsid w:val="7E1075B0"/>
    <w:rsid w:val="7E4021D2"/>
    <w:rsid w:val="7ED9146A"/>
    <w:rsid w:val="7EEE5888"/>
    <w:rsid w:val="7EFA18F3"/>
    <w:rsid w:val="7F0D7F93"/>
    <w:rsid w:val="7F434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1446"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autoRedefine/>
    <w:qFormat/>
    <w:uiPriority w:val="1"/>
    <w:pPr>
      <w:keepNext/>
      <w:keepLines/>
      <w:spacing w:beforeLines="0" w:beforeAutospacing="0" w:afterLines="0" w:afterAutospacing="0" w:line="577" w:lineRule="exact"/>
      <w:ind w:firstLine="1446" w:firstLineChars="200"/>
      <w:outlineLvl w:val="0"/>
    </w:pPr>
    <w:rPr>
      <w:rFonts w:eastAsia="黑体"/>
      <w:kern w:val="44"/>
      <w:sz w:val="32"/>
    </w:rPr>
  </w:style>
  <w:style w:type="paragraph" w:styleId="3">
    <w:name w:val="heading 2"/>
    <w:basedOn w:val="1"/>
    <w:next w:val="1"/>
    <w:link w:val="114"/>
    <w:autoRedefine/>
    <w:unhideWhenUsed/>
    <w:qFormat/>
    <w:uiPriority w:val="1"/>
    <w:pPr>
      <w:keepNext/>
      <w:keepLines/>
      <w:spacing w:line="579" w:lineRule="exact"/>
      <w:ind w:firstLine="1446" w:firstLineChars="200"/>
      <w:outlineLvl w:val="1"/>
    </w:pPr>
    <w:rPr>
      <w:rFonts w:ascii="Cambria" w:hAnsi="Cambria" w:eastAsia="仿宋_GB2312"/>
      <w:b/>
      <w:bCs/>
      <w:sz w:val="32"/>
      <w:szCs w:val="32"/>
    </w:rPr>
  </w:style>
  <w:style w:type="paragraph" w:styleId="4">
    <w:name w:val="heading 3"/>
    <w:basedOn w:val="1"/>
    <w:next w:val="1"/>
    <w:autoRedefine/>
    <w:qFormat/>
    <w:uiPriority w:val="1"/>
    <w:pPr>
      <w:ind w:left="0" w:firstLine="1446" w:firstLineChars="200"/>
      <w:outlineLvl w:val="2"/>
    </w:pPr>
    <w:rPr>
      <w:rFonts w:ascii="宋体" w:hAnsi="宋体" w:cs="宋体"/>
      <w:b/>
      <w:sz w:val="32"/>
      <w:lang w:val="zh-CN" w:bidi="zh-CN"/>
    </w:rPr>
  </w:style>
  <w:style w:type="paragraph" w:styleId="5">
    <w:name w:val="heading 4"/>
    <w:basedOn w:val="1"/>
    <w:next w:val="1"/>
    <w:link w:val="115"/>
    <w:unhideWhenUsed/>
    <w:qFormat/>
    <w:uiPriority w:val="1"/>
    <w:pPr>
      <w:keepNext/>
      <w:keepLines/>
      <w:spacing w:before="280" w:after="290" w:line="376" w:lineRule="auto"/>
      <w:outlineLvl w:val="3"/>
    </w:pPr>
    <w:rPr>
      <w:rFonts w:ascii="Cambria" w:hAnsi="Cambria"/>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Calibri" w:hAnsi="Calibri" w:cs="Calibri"/>
      <w:sz w:val="18"/>
      <w:szCs w:val="18"/>
    </w:rPr>
  </w:style>
  <w:style w:type="paragraph" w:styleId="7">
    <w:name w:val="index 5"/>
    <w:basedOn w:val="1"/>
    <w:next w:val="1"/>
    <w:autoRedefine/>
    <w:qFormat/>
    <w:uiPriority w:val="99"/>
    <w:pPr>
      <w:ind w:left="1680"/>
    </w:pPr>
  </w:style>
  <w:style w:type="paragraph" w:styleId="8">
    <w:name w:val="annotation text"/>
    <w:basedOn w:val="1"/>
    <w:link w:val="100"/>
    <w:autoRedefine/>
    <w:qFormat/>
    <w:uiPriority w:val="0"/>
    <w:pPr>
      <w:jc w:val="left"/>
    </w:pPr>
  </w:style>
  <w:style w:type="paragraph" w:styleId="9">
    <w:name w:val="Body Text"/>
    <w:basedOn w:val="1"/>
    <w:autoRedefine/>
    <w:qFormat/>
    <w:uiPriority w:val="1"/>
    <w:rPr>
      <w:rFonts w:ascii="宋体" w:hAnsi="宋体" w:cs="宋体"/>
      <w:sz w:val="22"/>
      <w:szCs w:val="22"/>
      <w:lang w:val="zh-CN" w:bidi="zh-CN"/>
    </w:rPr>
  </w:style>
  <w:style w:type="paragraph" w:styleId="10">
    <w:name w:val="Body Text Indent"/>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11">
    <w:name w:val="toc 5"/>
    <w:basedOn w:val="1"/>
    <w:next w:val="1"/>
    <w:qFormat/>
    <w:uiPriority w:val="0"/>
    <w:pPr>
      <w:ind w:left="840"/>
      <w:jc w:val="left"/>
    </w:pPr>
    <w:rPr>
      <w:rFonts w:ascii="Calibri" w:hAnsi="Calibri" w:cs="Calibri"/>
      <w:sz w:val="18"/>
      <w:szCs w:val="18"/>
    </w:rPr>
  </w:style>
  <w:style w:type="paragraph" w:styleId="12">
    <w:name w:val="toc 3"/>
    <w:basedOn w:val="1"/>
    <w:next w:val="1"/>
    <w:autoRedefine/>
    <w:qFormat/>
    <w:uiPriority w:val="0"/>
    <w:pPr>
      <w:ind w:left="420"/>
      <w:jc w:val="left"/>
    </w:pPr>
    <w:rPr>
      <w:rFonts w:ascii="Calibri" w:hAnsi="Calibri" w:cs="Calibri"/>
      <w:i/>
      <w:iCs/>
      <w:sz w:val="20"/>
      <w:szCs w:val="20"/>
    </w:rPr>
  </w:style>
  <w:style w:type="paragraph" w:styleId="13">
    <w:name w:val="toc 8"/>
    <w:basedOn w:val="1"/>
    <w:next w:val="1"/>
    <w:autoRedefine/>
    <w:qFormat/>
    <w:uiPriority w:val="0"/>
    <w:pPr>
      <w:ind w:left="1470"/>
      <w:jc w:val="left"/>
    </w:pPr>
    <w:rPr>
      <w:rFonts w:ascii="Calibri" w:hAnsi="Calibri" w:cs="Calibri"/>
      <w:sz w:val="18"/>
      <w:szCs w:val="18"/>
    </w:rPr>
  </w:style>
  <w:style w:type="paragraph" w:styleId="14">
    <w:name w:val="Body Text Indent 2"/>
    <w:basedOn w:val="1"/>
    <w:link w:val="116"/>
    <w:autoRedefine/>
    <w:qFormat/>
    <w:uiPriority w:val="0"/>
    <w:pPr>
      <w:spacing w:line="500" w:lineRule="exact"/>
      <w:ind w:left="840"/>
    </w:pPr>
    <w:rPr>
      <w:rFonts w:ascii="宋体" w:hAnsi="宋体"/>
      <w:kern w:val="0"/>
      <w:sz w:val="28"/>
      <w:szCs w:val="28"/>
    </w:rPr>
  </w:style>
  <w:style w:type="paragraph" w:styleId="15">
    <w:name w:val="Balloon Text"/>
    <w:basedOn w:val="1"/>
    <w:link w:val="102"/>
    <w:autoRedefine/>
    <w:qFormat/>
    <w:uiPriority w:val="0"/>
    <w:rPr>
      <w:sz w:val="18"/>
      <w:szCs w:val="18"/>
    </w:rPr>
  </w:style>
  <w:style w:type="paragraph" w:styleId="16">
    <w:name w:val="footer"/>
    <w:basedOn w:val="1"/>
    <w:link w:val="117"/>
    <w:autoRedefine/>
    <w:qFormat/>
    <w:uiPriority w:val="99"/>
    <w:pPr>
      <w:tabs>
        <w:tab w:val="center" w:pos="4153"/>
        <w:tab w:val="right" w:pos="8306"/>
      </w:tabs>
      <w:snapToGrid w:val="0"/>
      <w:jc w:val="left"/>
    </w:pPr>
    <w:rPr>
      <w:sz w:val="18"/>
      <w:szCs w:val="18"/>
    </w:rPr>
  </w:style>
  <w:style w:type="paragraph" w:styleId="17">
    <w:name w:val="header"/>
    <w:basedOn w:val="1"/>
    <w:link w:val="105"/>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line="360" w:lineRule="auto"/>
      <w:jc w:val="left"/>
    </w:pPr>
    <w:rPr>
      <w:rFonts w:ascii="Calibri" w:hAnsi="Calibri" w:cs="Calibri"/>
      <w:b/>
      <w:bCs/>
      <w:caps/>
      <w:szCs w:val="20"/>
    </w:rPr>
  </w:style>
  <w:style w:type="paragraph" w:styleId="19">
    <w:name w:val="toc 4"/>
    <w:basedOn w:val="1"/>
    <w:next w:val="1"/>
    <w:autoRedefine/>
    <w:qFormat/>
    <w:uiPriority w:val="0"/>
    <w:pPr>
      <w:ind w:left="630"/>
      <w:jc w:val="left"/>
    </w:pPr>
    <w:rPr>
      <w:rFonts w:ascii="Calibri" w:hAnsi="Calibri" w:cs="Calibri"/>
      <w:sz w:val="18"/>
      <w:szCs w:val="18"/>
    </w:rPr>
  </w:style>
  <w:style w:type="paragraph" w:styleId="20">
    <w:name w:val="toc 6"/>
    <w:basedOn w:val="1"/>
    <w:next w:val="1"/>
    <w:autoRedefine/>
    <w:qFormat/>
    <w:uiPriority w:val="0"/>
    <w:pPr>
      <w:ind w:left="1050"/>
      <w:jc w:val="left"/>
    </w:pPr>
    <w:rPr>
      <w:rFonts w:ascii="Calibri" w:hAnsi="Calibri" w:cs="Calibri"/>
      <w:sz w:val="18"/>
      <w:szCs w:val="18"/>
    </w:rPr>
  </w:style>
  <w:style w:type="paragraph" w:styleId="21">
    <w:name w:val="toc 2"/>
    <w:basedOn w:val="1"/>
    <w:next w:val="1"/>
    <w:autoRedefine/>
    <w:qFormat/>
    <w:uiPriority w:val="39"/>
    <w:pPr>
      <w:ind w:left="210"/>
      <w:jc w:val="left"/>
    </w:pPr>
    <w:rPr>
      <w:rFonts w:ascii="Calibri" w:hAnsi="Calibri" w:cs="Calibri"/>
      <w:smallCaps/>
      <w:sz w:val="20"/>
      <w:szCs w:val="20"/>
    </w:rPr>
  </w:style>
  <w:style w:type="paragraph" w:styleId="22">
    <w:name w:val="toc 9"/>
    <w:basedOn w:val="1"/>
    <w:next w:val="1"/>
    <w:autoRedefine/>
    <w:qFormat/>
    <w:uiPriority w:val="0"/>
    <w:pPr>
      <w:ind w:left="1680"/>
      <w:jc w:val="left"/>
    </w:pPr>
    <w:rPr>
      <w:rFonts w:ascii="Calibri" w:hAnsi="Calibri" w:cs="Calibri"/>
      <w:sz w:val="18"/>
      <w:szCs w:val="18"/>
    </w:rPr>
  </w:style>
  <w:style w:type="paragraph" w:styleId="23">
    <w:name w:val="HTML Preformatted"/>
    <w:basedOn w:val="1"/>
    <w:link w:val="10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autoRedefine/>
    <w:qFormat/>
    <w:uiPriority w:val="0"/>
    <w:pPr>
      <w:widowControl/>
      <w:spacing w:before="100" w:beforeAutospacing="1" w:after="100" w:afterAutospacing="1"/>
      <w:jc w:val="left"/>
    </w:pPr>
    <w:rPr>
      <w:kern w:val="0"/>
      <w:sz w:val="24"/>
    </w:rPr>
  </w:style>
  <w:style w:type="paragraph" w:styleId="25">
    <w:name w:val="Title"/>
    <w:basedOn w:val="1"/>
    <w:next w:val="1"/>
    <w:link w:val="103"/>
    <w:autoRedefine/>
    <w:qFormat/>
    <w:uiPriority w:val="0"/>
    <w:pPr>
      <w:spacing w:before="240" w:after="60"/>
      <w:jc w:val="center"/>
      <w:outlineLvl w:val="0"/>
    </w:pPr>
    <w:rPr>
      <w:rFonts w:ascii="Cambria" w:hAnsi="Cambria"/>
      <w:b/>
      <w:bCs/>
      <w:sz w:val="32"/>
      <w:szCs w:val="32"/>
    </w:rPr>
  </w:style>
  <w:style w:type="paragraph" w:styleId="26">
    <w:name w:val="annotation subject"/>
    <w:basedOn w:val="8"/>
    <w:next w:val="8"/>
    <w:link w:val="99"/>
    <w:autoRedefine/>
    <w:qFormat/>
    <w:uiPriority w:val="0"/>
    <w:rPr>
      <w:b/>
      <w:bCs/>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FollowedHyperlink"/>
    <w:autoRedefine/>
    <w:qFormat/>
    <w:uiPriority w:val="99"/>
    <w:rPr>
      <w:color w:val="800080"/>
      <w:u w:val="single"/>
    </w:rPr>
  </w:style>
  <w:style w:type="character" w:styleId="33">
    <w:name w:val="Hyperlink"/>
    <w:autoRedefine/>
    <w:qFormat/>
    <w:uiPriority w:val="99"/>
    <w:rPr>
      <w:color w:val="0000FF"/>
      <w:u w:val="single"/>
    </w:rPr>
  </w:style>
  <w:style w:type="character" w:styleId="34">
    <w:name w:val="annotation reference"/>
    <w:autoRedefine/>
    <w:qFormat/>
    <w:uiPriority w:val="0"/>
    <w:rPr>
      <w:sz w:val="21"/>
      <w:szCs w:val="21"/>
    </w:rPr>
  </w:style>
  <w:style w:type="paragraph" w:customStyle="1" w:styleId="35">
    <w:name w:val="reader-word-layer reader-word-s1-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
    <w:name w:val="reader-word-layer reader-word-s3-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列出段落1"/>
    <w:basedOn w:val="1"/>
    <w:autoRedefine/>
    <w:qFormat/>
    <w:uiPriority w:val="0"/>
    <w:pPr>
      <w:ind w:firstLine="420" w:firstLineChars="200"/>
    </w:pPr>
    <w:rPr>
      <w:rFonts w:ascii="Calibri" w:hAnsi="Calibri"/>
      <w:szCs w:val="22"/>
    </w:rPr>
  </w:style>
  <w:style w:type="paragraph" w:customStyle="1" w:styleId="38">
    <w:name w:val="reader-word-layer reader-word-s1-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reader-word-layer reader-word-s4-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reader-word-layer reader-word-s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2-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reader-word-s1-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4-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3-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4-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4-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表内容行距"/>
    <w:basedOn w:val="1"/>
    <w:link w:val="106"/>
    <w:autoRedefine/>
    <w:qFormat/>
    <w:uiPriority w:val="0"/>
    <w:pPr>
      <w:spacing w:line="340" w:lineRule="exact"/>
      <w:ind w:firstLine="100" w:firstLineChars="100"/>
    </w:pPr>
    <w:rPr>
      <w:rFonts w:eastAsia="方正书宋简体"/>
      <w:szCs w:val="21"/>
    </w:rPr>
  </w:style>
  <w:style w:type="paragraph" w:customStyle="1" w:styleId="51">
    <w:name w:val="reader-word-layer reader-word-s1-2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4-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
    <w:name w:val="表格2"/>
    <w:basedOn w:val="54"/>
    <w:autoRedefine/>
    <w:qFormat/>
    <w:uiPriority w:val="0"/>
    <w:pPr>
      <w:widowControl/>
      <w:spacing w:before="120" w:after="120" w:line="240" w:lineRule="auto"/>
      <w:ind w:firstLine="0" w:firstLineChars="0"/>
      <w:jc w:val="center"/>
    </w:pPr>
    <w:rPr>
      <w:rFonts w:eastAsia="宋体"/>
      <w:b/>
      <w:sz w:val="21"/>
      <w:szCs w:val="21"/>
      <w:lang w:eastAsia="en-US" w:bidi="en-US"/>
    </w:rPr>
  </w:style>
  <w:style w:type="paragraph" w:customStyle="1" w:styleId="54">
    <w:name w:val="表格文字"/>
    <w:basedOn w:val="1"/>
    <w:autoRedefine/>
    <w:qFormat/>
    <w:uiPriority w:val="0"/>
    <w:pPr>
      <w:jc w:val="left"/>
    </w:pPr>
    <w:rPr>
      <w:kern w:val="0"/>
      <w:sz w:val="18"/>
    </w:rPr>
  </w:style>
  <w:style w:type="paragraph" w:customStyle="1" w:styleId="55">
    <w:name w:val="样式1"/>
    <w:basedOn w:val="1"/>
    <w:autoRedefine/>
    <w:qFormat/>
    <w:uiPriority w:val="0"/>
    <w:pPr>
      <w:spacing w:line="240" w:lineRule="auto"/>
      <w:ind w:firstLine="0" w:firstLineChars="0"/>
    </w:pPr>
    <w:rPr>
      <w:sz w:val="21"/>
    </w:rPr>
  </w:style>
  <w:style w:type="paragraph" w:customStyle="1" w:styleId="56">
    <w:name w:val="reader-word-layer reader-word-s4-2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7">
    <w:name w:val="表内容"/>
    <w:basedOn w:val="1"/>
    <w:link w:val="104"/>
    <w:autoRedefine/>
    <w:qFormat/>
    <w:uiPriority w:val="0"/>
    <w:pPr>
      <w:spacing w:line="240" w:lineRule="exact"/>
      <w:ind w:firstLine="100" w:firstLineChars="100"/>
    </w:pPr>
    <w:rPr>
      <w:rFonts w:eastAsia="方正书宋简体"/>
      <w:szCs w:val="21"/>
    </w:rPr>
  </w:style>
  <w:style w:type="paragraph" w:customStyle="1" w:styleId="58">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reader-word-layer reader-word-s1-2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
    <w:name w:val="reader-word-layer reader-word-s1-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1">
    <w:name w:val="reader-word-layer reader-word-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reader-word-layer reader-word-s16-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3">
    <w:name w:val="reader-word-layer reader-word-s5-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reader-word-layer reader-word-s1-19 reader-word-s1-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reader-word-layer reader-word-s3-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reader-word-layer reader-word-s4-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8">
    <w:name w:val="p0"/>
    <w:basedOn w:val="1"/>
    <w:autoRedefine/>
    <w:qFormat/>
    <w:uiPriority w:val="0"/>
    <w:pPr>
      <w:widowControl/>
    </w:pPr>
    <w:rPr>
      <w:kern w:val="0"/>
      <w:szCs w:val="21"/>
    </w:rPr>
  </w:style>
  <w:style w:type="paragraph" w:customStyle="1" w:styleId="69">
    <w:name w:val="reader-word-layer reader-word-s1-2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0">
    <w:name w:val="reader-word-layer reader-word-s2-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reader-word-layer reader-word-s1-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
    <w:name w:val="reader-word-layer reader-word-s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reader-word-layer reader-word-s1-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reader-word-layer reader-word-s2-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reader-word-layer reader-word-s2-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7">
    <w:name w:val="reader-word-layer reader-word-s4-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reader-word-layer reader-word-s2-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9">
    <w:name w:val="reader-word-layer reader-word-s5-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0">
    <w:name w:val="reader-word-layer reader-word-s1-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1">
    <w:name w:val="reader-word-layer reader-word-s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2">
    <w:name w:val="reader-word-layer reader-word-s2-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3">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
    <w:name w:val="p17"/>
    <w:basedOn w:val="1"/>
    <w:autoRedefine/>
    <w:qFormat/>
    <w:uiPriority w:val="0"/>
    <w:pPr>
      <w:widowControl/>
    </w:pPr>
    <w:rPr>
      <w:kern w:val="0"/>
      <w:szCs w:val="21"/>
    </w:rPr>
  </w:style>
  <w:style w:type="paragraph" w:customStyle="1" w:styleId="85">
    <w:name w:val="reader-word-layer reader-word-s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6">
    <w:name w:val="reader-word-layer reader-word-s4-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reader-word-layer reader-word-s2-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Table Paragraph"/>
    <w:basedOn w:val="1"/>
    <w:autoRedefine/>
    <w:qFormat/>
    <w:uiPriority w:val="1"/>
    <w:rPr>
      <w:rFonts w:ascii="宋体" w:hAnsi="宋体" w:cs="宋体"/>
      <w:lang w:val="zh-CN" w:bidi="zh-CN"/>
    </w:rPr>
  </w:style>
  <w:style w:type="paragraph" w:customStyle="1" w:styleId="89">
    <w:name w:val="reader-word-layer reader-word-s16-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reader-word-layer reader-word-s4-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reader-word-layer reader-word-s3-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reader-word-layer reader-word-s4-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reader-word-layer reader-word-s2-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reader-word-layer reader-word-s1-3 reader-word-s1-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Char Char1 Char Char Char Char"/>
    <w:basedOn w:val="1"/>
    <w:autoRedefine/>
    <w:qFormat/>
    <w:uiPriority w:val="0"/>
  </w:style>
  <w:style w:type="paragraph" w:customStyle="1" w:styleId="97">
    <w:name w:val="reader-word-layer reader-word-s2-9"/>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8">
    <w:name w:val="apple-converted-space"/>
    <w:basedOn w:val="29"/>
    <w:autoRedefine/>
    <w:qFormat/>
    <w:uiPriority w:val="0"/>
  </w:style>
  <w:style w:type="character" w:customStyle="1" w:styleId="99">
    <w:name w:val="批注主题 Char"/>
    <w:link w:val="26"/>
    <w:autoRedefine/>
    <w:qFormat/>
    <w:uiPriority w:val="0"/>
    <w:rPr>
      <w:b/>
      <w:bCs/>
      <w:kern w:val="2"/>
      <w:sz w:val="21"/>
      <w:szCs w:val="24"/>
    </w:rPr>
  </w:style>
  <w:style w:type="character" w:customStyle="1" w:styleId="100">
    <w:name w:val="批注文字 Char"/>
    <w:link w:val="8"/>
    <w:autoRedefine/>
    <w:qFormat/>
    <w:uiPriority w:val="0"/>
    <w:rPr>
      <w:kern w:val="2"/>
      <w:sz w:val="21"/>
      <w:szCs w:val="24"/>
    </w:rPr>
  </w:style>
  <w:style w:type="character" w:customStyle="1" w:styleId="101">
    <w:name w:val="HTML 预设格式 Char"/>
    <w:link w:val="23"/>
    <w:autoRedefine/>
    <w:qFormat/>
    <w:uiPriority w:val="99"/>
    <w:rPr>
      <w:rFonts w:ascii="宋体" w:hAnsi="宋体" w:cs="宋体"/>
      <w:sz w:val="24"/>
      <w:szCs w:val="24"/>
    </w:rPr>
  </w:style>
  <w:style w:type="character" w:customStyle="1" w:styleId="102">
    <w:name w:val="批注框文本 Char"/>
    <w:link w:val="15"/>
    <w:autoRedefine/>
    <w:qFormat/>
    <w:uiPriority w:val="0"/>
    <w:rPr>
      <w:kern w:val="2"/>
      <w:sz w:val="18"/>
      <w:szCs w:val="18"/>
    </w:rPr>
  </w:style>
  <w:style w:type="character" w:customStyle="1" w:styleId="103">
    <w:name w:val="标题 Char"/>
    <w:link w:val="25"/>
    <w:autoRedefine/>
    <w:qFormat/>
    <w:uiPriority w:val="0"/>
    <w:rPr>
      <w:rFonts w:ascii="Cambria" w:hAnsi="Cambria" w:eastAsia="宋体"/>
      <w:b/>
      <w:bCs/>
      <w:kern w:val="2"/>
      <w:sz w:val="32"/>
      <w:szCs w:val="32"/>
      <w:lang w:val="en-US" w:eastAsia="zh-CN" w:bidi="ar-SA"/>
    </w:rPr>
  </w:style>
  <w:style w:type="character" w:customStyle="1" w:styleId="104">
    <w:name w:val="表内容 Char"/>
    <w:link w:val="57"/>
    <w:autoRedefine/>
    <w:qFormat/>
    <w:uiPriority w:val="0"/>
    <w:rPr>
      <w:rFonts w:eastAsia="方正书宋简体"/>
      <w:kern w:val="2"/>
      <w:sz w:val="21"/>
      <w:szCs w:val="21"/>
      <w:lang w:val="en-US" w:eastAsia="zh-CN" w:bidi="ar-SA"/>
    </w:rPr>
  </w:style>
  <w:style w:type="character" w:customStyle="1" w:styleId="105">
    <w:name w:val="页眉 Char"/>
    <w:link w:val="17"/>
    <w:autoRedefine/>
    <w:qFormat/>
    <w:uiPriority w:val="99"/>
    <w:rPr>
      <w:kern w:val="2"/>
      <w:sz w:val="18"/>
      <w:szCs w:val="18"/>
    </w:rPr>
  </w:style>
  <w:style w:type="character" w:customStyle="1" w:styleId="106">
    <w:name w:val="表内容行距 Char"/>
    <w:link w:val="50"/>
    <w:autoRedefine/>
    <w:qFormat/>
    <w:uiPriority w:val="0"/>
    <w:rPr>
      <w:rFonts w:eastAsia="方正书宋简体"/>
      <w:kern w:val="2"/>
      <w:sz w:val="21"/>
      <w:szCs w:val="21"/>
      <w:lang w:val="en-US" w:eastAsia="zh-CN" w:bidi="ar-SA"/>
    </w:rPr>
  </w:style>
  <w:style w:type="paragraph" w:customStyle="1" w:styleId="107">
    <w:name w:val="石墨文档正文"/>
    <w:autoRedefine/>
    <w:qFormat/>
    <w:uiPriority w:val="0"/>
    <w:rPr>
      <w:rFonts w:ascii="微软雅黑" w:hAnsi="微软雅黑" w:eastAsia="微软雅黑" w:cs="微软雅黑"/>
      <w:sz w:val="22"/>
      <w:szCs w:val="22"/>
      <w:lang w:val="en-US" w:eastAsia="zh-CN" w:bidi="ar-SA"/>
    </w:rPr>
  </w:style>
  <w:style w:type="paragraph" w:customStyle="1" w:styleId="108">
    <w:name w:val="列表段落1"/>
    <w:basedOn w:val="1"/>
    <w:autoRedefine/>
    <w:qFormat/>
    <w:uiPriority w:val="0"/>
    <w:pPr>
      <w:ind w:firstLine="420" w:firstLineChars="200"/>
    </w:pPr>
  </w:style>
  <w:style w:type="character" w:customStyle="1" w:styleId="109">
    <w:name w:val="font41"/>
    <w:autoRedefine/>
    <w:qFormat/>
    <w:uiPriority w:val="0"/>
    <w:rPr>
      <w:rFonts w:hint="eastAsia" w:ascii="宋体" w:hAnsi="宋体" w:eastAsia="宋体" w:cs="宋体"/>
      <w:color w:val="000000"/>
      <w:sz w:val="18"/>
      <w:szCs w:val="18"/>
      <w:u w:val="none"/>
    </w:rPr>
  </w:style>
  <w:style w:type="character" w:customStyle="1" w:styleId="110">
    <w:name w:val="font61"/>
    <w:autoRedefine/>
    <w:qFormat/>
    <w:uiPriority w:val="0"/>
    <w:rPr>
      <w:rFonts w:hint="default" w:ascii="Calibri" w:hAnsi="Calibri" w:cs="Calibri"/>
      <w:color w:val="000000"/>
      <w:sz w:val="18"/>
      <w:szCs w:val="18"/>
      <w:u w:val="none"/>
    </w:rPr>
  </w:style>
  <w:style w:type="table" w:customStyle="1" w:styleId="111">
    <w:name w:val="Table Normal"/>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2">
    <w:name w:val="Table Normal1"/>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2"/>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14">
    <w:name w:val="标题 2 Char"/>
    <w:link w:val="3"/>
    <w:autoRedefine/>
    <w:qFormat/>
    <w:uiPriority w:val="1"/>
    <w:rPr>
      <w:rFonts w:ascii="Cambria" w:hAnsi="Cambria" w:eastAsia="仿宋_GB2312"/>
      <w:b/>
      <w:bCs/>
      <w:kern w:val="2"/>
      <w:sz w:val="32"/>
      <w:szCs w:val="32"/>
    </w:rPr>
  </w:style>
  <w:style w:type="character" w:customStyle="1" w:styleId="115">
    <w:name w:val="标题 4 Char"/>
    <w:link w:val="5"/>
    <w:autoRedefine/>
    <w:qFormat/>
    <w:uiPriority w:val="1"/>
    <w:rPr>
      <w:rFonts w:ascii="Cambria" w:hAnsi="Cambria"/>
      <w:b/>
      <w:bCs/>
      <w:kern w:val="2"/>
      <w:sz w:val="28"/>
      <w:szCs w:val="28"/>
    </w:rPr>
  </w:style>
  <w:style w:type="character" w:customStyle="1" w:styleId="116">
    <w:name w:val="正文文本缩进 2 Char"/>
    <w:link w:val="14"/>
    <w:autoRedefine/>
    <w:qFormat/>
    <w:uiPriority w:val="0"/>
    <w:rPr>
      <w:rFonts w:ascii="宋体" w:hAnsi="宋体"/>
      <w:sz w:val="28"/>
      <w:szCs w:val="28"/>
    </w:rPr>
  </w:style>
  <w:style w:type="character" w:customStyle="1" w:styleId="117">
    <w:name w:val="页脚 Char"/>
    <w:link w:val="16"/>
    <w:autoRedefine/>
    <w:qFormat/>
    <w:uiPriority w:val="99"/>
    <w:rPr>
      <w:kern w:val="2"/>
      <w:sz w:val="18"/>
      <w:szCs w:val="18"/>
    </w:rPr>
  </w:style>
  <w:style w:type="character" w:customStyle="1" w:styleId="118">
    <w:name w:val="_Style 3"/>
    <w:autoRedefine/>
    <w:qFormat/>
    <w:uiPriority w:val="0"/>
    <w:rPr>
      <w:rFonts w:ascii="黑体" w:hAnsi="黑体" w:eastAsia="黑体" w:cs="Times New Roman"/>
      <w:sz w:val="21"/>
      <w:szCs w:val="21"/>
    </w:rPr>
  </w:style>
  <w:style w:type="character" w:customStyle="1" w:styleId="119">
    <w:name w:val="_Style 2"/>
    <w:autoRedefine/>
    <w:qFormat/>
    <w:uiPriority w:val="0"/>
    <w:rPr>
      <w:rFonts w:ascii="黑体" w:hAnsi="黑体" w:eastAsia="黑体" w:cs="Times New Roman"/>
      <w:sz w:val="21"/>
      <w:szCs w:val="21"/>
    </w:rPr>
  </w:style>
  <w:style w:type="paragraph" w:customStyle="1" w:styleId="120">
    <w:name w:val="样式2"/>
    <w:basedOn w:val="1"/>
    <w:autoRedefine/>
    <w:qFormat/>
    <w:uiPriority w:val="0"/>
    <w:pPr>
      <w:wordWrap w:val="0"/>
      <w:spacing w:before="50" w:beforeLines="50" w:after="50" w:afterLines="50" w:line="320" w:lineRule="exact"/>
      <w:jc w:val="center"/>
    </w:pPr>
    <w:rPr>
      <w:bCs/>
      <w:sz w:val="24"/>
    </w:rPr>
  </w:style>
  <w:style w:type="paragraph" w:styleId="121">
    <w:name w:val="List Paragraph"/>
    <w:basedOn w:val="1"/>
    <w:autoRedefine/>
    <w:qFormat/>
    <w:uiPriority w:val="1"/>
    <w:pPr>
      <w:autoSpaceDE w:val="0"/>
      <w:autoSpaceDN w:val="0"/>
      <w:ind w:left="1492" w:hanging="554"/>
      <w:jc w:val="left"/>
    </w:pPr>
    <w:rPr>
      <w:rFonts w:ascii="宋体" w:hAnsi="宋体" w:cs="宋体"/>
      <w:kern w:val="0"/>
      <w:sz w:val="22"/>
      <w:szCs w:val="22"/>
      <w:lang w:val="zh-CN" w:bidi="zh-CN"/>
    </w:rPr>
  </w:style>
  <w:style w:type="paragraph" w:customStyle="1" w:styleId="122">
    <w:name w:val="WPSOffice手动目录 1"/>
    <w:autoRedefine/>
    <w:qFormat/>
    <w:uiPriority w:val="0"/>
    <w:rPr>
      <w:rFonts w:ascii="Times New Roman" w:hAnsi="Times New Roman" w:eastAsia="宋体" w:cs="Times New Roman"/>
      <w:lang w:val="en-US" w:eastAsia="zh-CN" w:bidi="ar-SA"/>
    </w:rPr>
  </w:style>
  <w:style w:type="paragraph" w:customStyle="1" w:styleId="123">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CB4CF-C415-468D-A52C-E881A8B9B9C9}">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38</Pages>
  <Words>4309</Words>
  <Characters>4395</Characters>
  <Lines>1</Lines>
  <Paragraphs>1</Paragraphs>
  <TotalTime>0</TotalTime>
  <ScaleCrop>false</ScaleCrop>
  <LinksUpToDate>false</LinksUpToDate>
  <CharactersWithSpaces>4463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2021-05-11T09:38:00Z</dcterms:created>
  <dc:creator>微软用户</dc:creator>
  <cp:lastModifiedBy>Moon</cp:lastModifiedBy>
  <cp:lastPrinted>2023-12-20T02:40:00Z</cp:lastPrinted>
  <dcterms:modified xsi:type="dcterms:W3CDTF">2025-07-01T06:26:44Z</dcterms:modified>
  <dc:title>全国中等职业学校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710AED595FDA41DCAA505FD1E138AF84_13</vt:lpwstr>
  </property>
  <property fmtid="{D5CDD505-2E9C-101B-9397-08002B2CF9AE}" pid="4" name="KSOTemplateDocerSaveRecord">
    <vt:lpwstr>eyJoZGlkIjoiOGVkZTI5ZjkxOWFiNWVjNzY3NzlkNmJmMmI3NGI4OGYiLCJ1c2VySWQiOiI4NTQ0NDc5NTUifQ==</vt:lpwstr>
  </property>
</Properties>
</file>