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343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山东城市服务职业学院</w:t>
      </w:r>
    </w:p>
    <w:p w14:paraId="6086D2F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一站式学生社区文化建设项目询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价公告</w:t>
      </w:r>
    </w:p>
    <w:p w14:paraId="31375CDC">
      <w:pPr>
        <w:pStyle w:val="4"/>
        <w:pageBreakBefore w:val="0"/>
        <w:widowControl/>
        <w:pBdr>
          <w:bottom w:val="single" w:color="E2E2E2" w:sz="6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27" w:firstLineChars="196"/>
        <w:rPr>
          <w:rFonts w:hint="eastAsia" w:ascii="楷体" w:hAnsi="楷体" w:eastAsia="楷体" w:cs="楷体"/>
          <w:b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sz w:val="32"/>
          <w:szCs w:val="32"/>
          <w:highlight w:val="none"/>
        </w:rPr>
        <w:t>一、 采购内容</w:t>
      </w:r>
    </w:p>
    <w:p w14:paraId="27501CC2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 xml:space="preserve">山东城市服务职业学院一站式学生社区文化建设项目 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要求详见附件。</w:t>
      </w:r>
    </w:p>
    <w:p w14:paraId="192588FC">
      <w:pPr>
        <w:pStyle w:val="4"/>
        <w:pageBreakBefore w:val="0"/>
        <w:widowControl/>
        <w:pBdr>
          <w:bottom w:val="single" w:color="E2E2E2" w:sz="6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27" w:firstLineChars="196"/>
        <w:rPr>
          <w:rFonts w:ascii="楷体" w:hAnsi="楷体" w:eastAsia="楷体" w:cs="楷体"/>
          <w:b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sz w:val="32"/>
          <w:szCs w:val="32"/>
          <w:highlight w:val="none"/>
        </w:rPr>
        <w:t>二、</w:t>
      </w:r>
      <w:r>
        <w:rPr>
          <w:rFonts w:hint="eastAsia" w:ascii="楷体" w:hAnsi="楷体" w:eastAsia="楷体" w:cs="楷体"/>
          <w:b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sz w:val="32"/>
          <w:szCs w:val="32"/>
          <w:highlight w:val="none"/>
        </w:rPr>
        <w:t>资格</w:t>
      </w:r>
    </w:p>
    <w:p w14:paraId="6B13D8C8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须为在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中国境内注册，具有独立承担民事责任能力的法人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其他组织或自然人；</w:t>
      </w:r>
    </w:p>
    <w:p w14:paraId="4298EEEF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（2）参加采购活动前3年内在经营活动中没有重大违法记录的书面声明（供应商自拟格式承诺）；</w:t>
      </w:r>
    </w:p>
    <w:p w14:paraId="2C332C71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68DD3EA2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（4）具有履行合同所必需的设备和专业技术能力；</w:t>
      </w:r>
    </w:p>
    <w:p w14:paraId="51883437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（5）无不良信用信息记录（供应商自拟格式承诺）；</w:t>
      </w:r>
    </w:p>
    <w:p w14:paraId="331BAC8C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（6）本项目不接受联合体参加。</w:t>
      </w:r>
    </w:p>
    <w:p w14:paraId="0AAB8ACF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三、报价要求</w:t>
      </w:r>
    </w:p>
    <w:p w14:paraId="66E37F3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6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12月6日15时00分— 15时30分，到山东城市服务职业学院（山东省烟台市高新区科创西路60号）图信楼619提交报价文件。联系人和联系电话：丛老师，2246687。</w:t>
      </w:r>
    </w:p>
    <w:p w14:paraId="448261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6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投标人资格要求等。上述资料装订成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需提供纸质版文件2份、电子扫描件1份）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，自行密封并在封面加盖单位公章，否则视为无效投标。所交资料因存档需要，采购人不予返还。</w:t>
      </w:r>
    </w:p>
    <w:p w14:paraId="20BA47E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6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 报价为完成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一站式学生社区文化建设项目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全部内容的总价，包括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设计费、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人工费、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材料费、安装费、运输费、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利润、税金等所有费用，且综合考虑价格上涨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不确定风险。</w:t>
      </w:r>
    </w:p>
    <w:p w14:paraId="129B1FEE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ascii="楷体" w:hAnsi="楷体" w:eastAsia="楷体" w:cs="仿宋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四、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其他</w:t>
      </w:r>
      <w:r>
        <w:rPr>
          <w:rFonts w:ascii="楷体" w:hAnsi="楷体" w:eastAsia="楷体" w:cs="仿宋"/>
          <w:sz w:val="32"/>
          <w:szCs w:val="32"/>
          <w:highlight w:val="none"/>
        </w:rPr>
        <w:t>要求</w:t>
      </w:r>
    </w:p>
    <w:p w14:paraId="6CD14FA5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采购人不组织统一考察现场。供应商可自行踏勘项目现场，明确本项目的服务范围，制定合理的服务方案，确保服务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672E7A81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0" w:firstLineChars="200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但投标人报价不得明显低于其他通过符合性审查投标人的报价，也不允许低于成本价报价。否则，采购人将认为其报价有可能影响产品质量、服务质量或不能诚信履约。投标人现场不能对其低报价做出合理解释的，采购人可根据《政府采购货物和服务招标投标管理办法》（财政部87号令）等法律法规认定为无效报价。</w:t>
      </w:r>
    </w:p>
    <w:p w14:paraId="23DA6192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0" w:firstLineChars="200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3.中标人因自身原因放弃中标人资格，将不允许再次参与该项目，一年内不允许参与采购人其他项目。</w:t>
      </w:r>
    </w:p>
    <w:p w14:paraId="48DECC32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4.报价资料应符合完全响应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山东城市服务职业学院一站式学生社区文化建设项目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所有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要求，要求见附件。</w:t>
      </w:r>
    </w:p>
    <w:p w14:paraId="0B2057BB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五、控制价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付款方式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服务期限</w:t>
      </w:r>
    </w:p>
    <w:p w14:paraId="6ABF07D1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1.控制价：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本项目总控制价为人民币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40000.00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ED97544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2.付款方式：本项目无预付款，验收合格后一次性无息支付合同金额的100%。</w:t>
      </w:r>
    </w:p>
    <w:p w14:paraId="45436DD4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3.服务期限：接到采购人通知之日起15日内完成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5C6A46A1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4.服务地点：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学生公寓。</w:t>
      </w:r>
    </w:p>
    <w:p w14:paraId="54F38308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4E45595A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6734EF8D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1.服务内容及服务标准</w:t>
      </w:r>
    </w:p>
    <w:p w14:paraId="07F1D615">
      <w:pPr>
        <w:pStyle w:val="1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rightChars="0" w:firstLine="1600" w:firstLineChars="5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报价文件格式</w:t>
      </w:r>
    </w:p>
    <w:p w14:paraId="445322C9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/>
        <w:rPr>
          <w:rFonts w:ascii="仿宋" w:hAnsi="仿宋" w:eastAsia="仿宋" w:cs="仿宋"/>
          <w:sz w:val="32"/>
          <w:szCs w:val="32"/>
          <w:highlight w:val="none"/>
        </w:rPr>
      </w:pPr>
    </w:p>
    <w:p w14:paraId="39670D95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</w:t>
      </w:r>
    </w:p>
    <w:p w14:paraId="4EDCE345"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leftChars="0" w:right="0" w:firstLine="645"/>
        <w:jc w:val="right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456D1FF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/>
          <w:highlight w:val="none"/>
        </w:rPr>
      </w:pPr>
    </w:p>
    <w:p w14:paraId="402FCAA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44"/>
          <w:sz w:val="28"/>
          <w:szCs w:val="28"/>
          <w:highlight w:val="none"/>
        </w:rPr>
        <w:br w:type="page"/>
      </w:r>
    </w:p>
    <w:p w14:paraId="634802F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44"/>
          <w:sz w:val="28"/>
          <w:szCs w:val="28"/>
          <w:highlight w:val="none"/>
          <w:lang w:val="en-US" w:eastAsia="zh-CN"/>
        </w:rPr>
        <w:t>附件1：服务内容及服务标准</w:t>
      </w:r>
    </w:p>
    <w:p w14:paraId="6983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79" w:lineRule="exact"/>
        <w:ind w:left="0" w:leftChars="0" w:right="0"/>
        <w:jc w:val="center"/>
        <w:textAlignment w:val="auto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一站式学生社区文化建设项目服务内容及服务标准</w:t>
      </w:r>
    </w:p>
    <w:p w14:paraId="14AC2848"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一、服务内容</w:t>
      </w:r>
    </w:p>
    <w:p w14:paraId="5B153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1.本项目是学生一号公寓、二号公寓共同建立一站式学生社区文化建设服务，含广告、宣传品的设计、制作、安装。      </w:t>
      </w:r>
    </w:p>
    <w:p w14:paraId="658A6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此文化建设服务需要对接7个学院（文化与创意学院、智能制造学院、现代商务学院、西餐学院、中餐学院、旅游与服务学院、融媒体产业学院）及学生工作处，按各学院及学生工作处要求进行宣传品的设计、制作及安装墙面书院标识。</w:t>
      </w:r>
    </w:p>
    <w:p w14:paraId="03EED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3.具体内容包含：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各个学院的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书院名称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各自书院名称的主题文化内涵介绍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办公房间功能名称（统一制作门牌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协同育人服务大厅、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自习室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、党建活动室、辅导员工作室、研习室等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宣传品设计与制作；各书院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办公室之间墙面建设文化墙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党建引领、队伍入驻、学生参与、文化建设、数字赋能、条件保障6个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方面）的宣传品设计、制作、安装；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学生工作处、团委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更换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文化墙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学工处工作、学生会成员、团建、志愿服务4个方面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）及宣传品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安装。</w:t>
      </w:r>
    </w:p>
    <w:p w14:paraId="4211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二、服务标准</w:t>
      </w:r>
    </w:p>
    <w:p w14:paraId="5722BDF6"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1.此项目宣传品设计方案、材质、尺寸、安装地点、安装方式等需成交供应商根据采购人要求提交方案，经采购人确认后制作并安装。</w:t>
      </w:r>
    </w:p>
    <w:p w14:paraId="5FA35C9D"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2.若需现场考察及详细咨询，联系学生工作处殷老师17805452160。</w:t>
      </w:r>
    </w:p>
    <w:p w14:paraId="20515ED5">
      <w:pPr>
        <w:pStyle w:val="1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rightChars="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附件2：报价文件格式</w:t>
      </w:r>
    </w:p>
    <w:p w14:paraId="4ED2EBCE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ascii="仿宋" w:hAnsi="仿宋" w:eastAsia="仿宋" w:cs="仿宋"/>
          <w:kern w:val="44"/>
          <w:sz w:val="28"/>
          <w:szCs w:val="28"/>
          <w:highlight w:val="none"/>
        </w:rPr>
      </w:pPr>
    </w:p>
    <w:p w14:paraId="536D3F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报价单</w:t>
      </w:r>
    </w:p>
    <w:p w14:paraId="0F7B108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141E8C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129C3AE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山东城市服务职业学院一站式学生社区文化建设项目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中的报价为人民币___________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，大写________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__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。</w:t>
      </w:r>
    </w:p>
    <w:p w14:paraId="1D3333B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4C85AAF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响应情况：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完全响应询价公告内容。</w:t>
      </w:r>
    </w:p>
    <w:p w14:paraId="3DC5A057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leftChars="0" w:right="0"/>
        <w:rPr>
          <w:rFonts w:hint="eastAsia" w:ascii="仿宋_GB2312" w:eastAsia="仿宋_GB2312"/>
          <w:sz w:val="32"/>
          <w:szCs w:val="32"/>
          <w:highlight w:val="none"/>
        </w:rPr>
      </w:pPr>
    </w:p>
    <w:p w14:paraId="551824BD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leftChars="0" w:right="0"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</w:p>
    <w:p w14:paraId="026ADCF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</w:p>
    <w:p w14:paraId="12B529F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both"/>
        <w:rPr>
          <w:sz w:val="32"/>
          <w:highlight w:val="none"/>
        </w:rPr>
      </w:pPr>
    </w:p>
    <w:p w14:paraId="001BE8E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highlight w:val="none"/>
        </w:rPr>
      </w:pPr>
    </w:p>
    <w:p w14:paraId="27ABFEC6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leftChars="0" w:right="0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报价单位（章）：</w:t>
      </w:r>
    </w:p>
    <w:p w14:paraId="6B593D24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leftChars="0" w:right="0"/>
        <w:jc w:val="center"/>
        <w:rPr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           </w:t>
      </w:r>
      <w:r>
        <w:rPr>
          <w:rFonts w:hint="eastAsia"/>
          <w:sz w:val="32"/>
          <w:szCs w:val="32"/>
          <w:highlight w:val="none"/>
          <w:lang w:eastAsia="zh-CN"/>
        </w:rPr>
        <w:t>2024年</w:t>
      </w:r>
      <w:r>
        <w:rPr>
          <w:rFonts w:hint="eastAsia"/>
          <w:sz w:val="32"/>
          <w:szCs w:val="32"/>
          <w:highlight w:val="none"/>
        </w:rPr>
        <w:t xml:space="preserve">   月  日</w:t>
      </w:r>
    </w:p>
    <w:p w14:paraId="2AE34FA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highlight w:val="none"/>
        </w:rPr>
      </w:pPr>
    </w:p>
    <w:p w14:paraId="23721683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left"/>
        <w:rPr>
          <w:b/>
          <w:bCs/>
          <w:highlight w:val="none"/>
        </w:rPr>
      </w:pPr>
    </w:p>
    <w:p w14:paraId="5AB46A0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kern w:val="44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br w:type="page"/>
      </w:r>
    </w:p>
    <w:p w14:paraId="7CDD74A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黑体" w:hAnsi="Times New Roman" w:eastAsia="黑体" w:cs="Times New Roman"/>
          <w:sz w:val="36"/>
          <w:szCs w:val="36"/>
          <w:highlight w:val="none"/>
        </w:rPr>
      </w:pPr>
      <w:r>
        <w:rPr>
          <w:rFonts w:hint="eastAsia" w:ascii="黑体" w:hAnsi="Times New Roman" w:eastAsia="黑体" w:cs="Times New Roman"/>
          <w:sz w:val="36"/>
          <w:szCs w:val="36"/>
          <w:highlight w:val="none"/>
        </w:rPr>
        <w:t>近三年在经营活动中无重大违法记录声明函</w:t>
      </w:r>
    </w:p>
    <w:p w14:paraId="40A72F1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6DD0FE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山东城市服务职业学院：</w:t>
      </w:r>
    </w:p>
    <w:p w14:paraId="7D53A30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我公司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  <w:lang w:val="en-US" w:eastAsia="zh-CN"/>
        </w:rPr>
        <w:t>项目名称）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近三年在经营活动中无重大违法记录，特此声明。</w:t>
      </w:r>
    </w:p>
    <w:p w14:paraId="2F4ACF2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我公司为此声明的真实性负责，如有欺骗、隐瞒、谎报等行为，愿意接受采购人按照国家相关法律法规等规定给予的处罚。</w:t>
      </w:r>
    </w:p>
    <w:p w14:paraId="36C4A6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53605208">
      <w:pPr>
        <w:wordWrap w:val="0"/>
        <w:spacing w:line="560" w:lineRule="exact"/>
        <w:jc w:val="right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139EECD8">
      <w:pPr>
        <w:wordWrap w:val="0"/>
        <w:spacing w:line="560" w:lineRule="exact"/>
        <w:jc w:val="right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621B4F0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320" w:firstLineChars="1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 w:eastAsia="zh-CN"/>
        </w:rPr>
        <w:t>称（盖章）：</w:t>
      </w:r>
    </w:p>
    <w:p w14:paraId="6A5E367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34B561C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年   月    日</w:t>
      </w:r>
    </w:p>
    <w:p w14:paraId="4CD38C90">
      <w:pP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br w:type="page"/>
      </w:r>
    </w:p>
    <w:p w14:paraId="6FE32FF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仿宋" w:hAnsi="仿宋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  <w:t>财务状况承诺</w:t>
      </w:r>
    </w:p>
    <w:p w14:paraId="6A8FCFC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B5AFA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山东城市服务职业学院：</w:t>
      </w:r>
    </w:p>
    <w:p w14:paraId="0865E32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22FB86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56FDAFED">
      <w:pPr>
        <w:wordWrap w:val="0"/>
        <w:spacing w:line="560" w:lineRule="exact"/>
        <w:jc w:val="both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688850F9">
      <w:pPr>
        <w:wordWrap w:val="0"/>
        <w:spacing w:line="560" w:lineRule="exact"/>
        <w:jc w:val="right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2F70161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320" w:firstLineChars="1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 w:eastAsia="zh-CN"/>
        </w:rPr>
        <w:t>称（盖章）：</w:t>
      </w:r>
    </w:p>
    <w:p w14:paraId="6B00E77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53640F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年   月    日</w:t>
      </w:r>
    </w:p>
    <w:p w14:paraId="0650D3A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5BB61B2B">
      <w:pP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br w:type="page"/>
      </w:r>
    </w:p>
    <w:p w14:paraId="5141857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仿宋" w:hAnsi="仿宋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highlight w:val="none"/>
        </w:rPr>
        <w:t>具有履行合同所必需的设备和专业技术能力的</w:t>
      </w:r>
      <w:r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  <w:t>承诺</w:t>
      </w:r>
    </w:p>
    <w:p w14:paraId="00FF891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157E509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山东城市服务职业学院：</w:t>
      </w:r>
    </w:p>
    <w:p w14:paraId="7A3520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我单位郑重承诺，我单位具有履行本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项目合同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所必需的设备和专业技术能力。</w:t>
      </w:r>
    </w:p>
    <w:p w14:paraId="441C144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1E698825">
      <w:pPr>
        <w:wordWrap w:val="0"/>
        <w:spacing w:line="560" w:lineRule="exact"/>
        <w:jc w:val="right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49607F01">
      <w:pPr>
        <w:wordWrap w:val="0"/>
        <w:spacing w:line="560" w:lineRule="exact"/>
        <w:jc w:val="right"/>
        <w:textAlignment w:val="center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</w:p>
    <w:p w14:paraId="6EA261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320" w:firstLineChars="1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 w:eastAsia="zh-CN"/>
        </w:rPr>
        <w:t>称（盖章）：</w:t>
      </w:r>
    </w:p>
    <w:p w14:paraId="0721DA2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34182A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年   月    日</w:t>
      </w:r>
    </w:p>
    <w:p w14:paraId="23CA88E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75CF57FE">
      <w:pP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br w:type="page"/>
      </w:r>
    </w:p>
    <w:p w14:paraId="5E1DAE8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  <w:t>无不良信用记录声明</w:t>
      </w:r>
    </w:p>
    <w:p w14:paraId="1A18511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4A3062E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山东城市服务职业学院：</w:t>
      </w:r>
    </w:p>
    <w:p w14:paraId="2270F8F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我公司郑重声明，我公司无以下不良信用记录情形：</w:t>
      </w:r>
    </w:p>
    <w:p w14:paraId="3B0EB98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公司被政府采购监管部门列入政府采购严重违法失信行为记录名单；</w:t>
      </w:r>
    </w:p>
    <w:p w14:paraId="72E1504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公司被工商行政管理部门列入企业经营异常名录；</w:t>
      </w:r>
    </w:p>
    <w:p w14:paraId="563E3F4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公司被税务部门列入重大税收违法案件当事人名单；</w:t>
      </w:r>
    </w:p>
    <w:p w14:paraId="7C09491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公司被列入失信被执行人；</w:t>
      </w:r>
    </w:p>
    <w:p w14:paraId="285E58B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特此承诺：如具有不良信用记录，贵方可取消我公司成交资格或者不授予合同，由此产生的费用及相关责任均由我公司自行承担。</w:t>
      </w:r>
    </w:p>
    <w:p w14:paraId="5AC0BAF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6BF865B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3840" w:firstLineChars="12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 w:eastAsia="zh-CN"/>
        </w:rPr>
        <w:t>称（盖章）：</w:t>
      </w:r>
    </w:p>
    <w:p w14:paraId="797E109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</w:p>
    <w:p w14:paraId="115C8F5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年   月    日</w:t>
      </w:r>
    </w:p>
    <w:p w14:paraId="2C6C077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78F62295">
      <w:pP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br w:type="page"/>
      </w:r>
    </w:p>
    <w:p w14:paraId="4F6B69C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/>
        <w:jc w:val="center"/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highlight w:val="none"/>
          <w:lang w:val="en-US" w:eastAsia="zh-CN"/>
        </w:rPr>
        <w:t>法定代表人（负责人）资格证明书</w:t>
      </w:r>
    </w:p>
    <w:p w14:paraId="5E258033">
      <w:pPr>
        <w:spacing w:line="360" w:lineRule="auto"/>
        <w:ind w:firstLine="600" w:firstLineChars="200"/>
        <w:rPr>
          <w:rFonts w:hint="eastAsia" w:ascii="宋体" w:hAnsi="宋体"/>
          <w:sz w:val="30"/>
          <w:highlight w:val="none"/>
        </w:rPr>
      </w:pPr>
    </w:p>
    <w:p w14:paraId="09D00E83">
      <w:pPr>
        <w:spacing w:line="360" w:lineRule="auto"/>
        <w:ind w:firstLine="64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兹证明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同志，为我单位的法定代表人，身份证号码为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 w:val="24"/>
          <w:highlight w:val="none"/>
        </w:rPr>
        <w:t>。</w:t>
      </w:r>
    </w:p>
    <w:p w14:paraId="33814C6E">
      <w:pPr>
        <w:spacing w:line="360" w:lineRule="auto"/>
        <w:rPr>
          <w:rFonts w:hint="eastAsia" w:ascii="宋体" w:hAnsi="宋体"/>
          <w:sz w:val="24"/>
          <w:highlight w:val="none"/>
        </w:rPr>
      </w:pPr>
    </w:p>
    <w:p w14:paraId="51937EC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供应商：（公章）</w:t>
      </w:r>
    </w:p>
    <w:p w14:paraId="583B2646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                              </w:t>
      </w:r>
    </w:p>
    <w:p w14:paraId="23349BE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年   月    日</w:t>
      </w:r>
    </w:p>
    <w:p w14:paraId="40E4CAA3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194C18B0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4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1C4E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noWrap w:val="0"/>
            <w:vAlign w:val="center"/>
          </w:tcPr>
          <w:p w14:paraId="17582E3F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法定代表人身份证</w:t>
            </w:r>
          </w:p>
          <w:p w14:paraId="7F186CF3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63E77378">
            <w:pPr>
              <w:tabs>
                <w:tab w:val="left" w:pos="5000"/>
              </w:tabs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45DBF7BF">
      <w:pP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2CAFB2DE">
      <w:pPr>
        <w:pStyle w:val="2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757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000000"/>
    <w:rsid w:val="007C243B"/>
    <w:rsid w:val="02691984"/>
    <w:rsid w:val="03321D76"/>
    <w:rsid w:val="03373831"/>
    <w:rsid w:val="039D3016"/>
    <w:rsid w:val="03AE3AF3"/>
    <w:rsid w:val="063D412C"/>
    <w:rsid w:val="06A43753"/>
    <w:rsid w:val="06F40028"/>
    <w:rsid w:val="07390F82"/>
    <w:rsid w:val="0739244C"/>
    <w:rsid w:val="07DF1D1B"/>
    <w:rsid w:val="08F24482"/>
    <w:rsid w:val="099C0D3B"/>
    <w:rsid w:val="0A347112"/>
    <w:rsid w:val="0A3D066E"/>
    <w:rsid w:val="0AA131C6"/>
    <w:rsid w:val="0BBE0266"/>
    <w:rsid w:val="0C006EB6"/>
    <w:rsid w:val="0C277BE4"/>
    <w:rsid w:val="0CDB522D"/>
    <w:rsid w:val="0E770F85"/>
    <w:rsid w:val="0FCE29A7"/>
    <w:rsid w:val="110B7DB3"/>
    <w:rsid w:val="16B24CDB"/>
    <w:rsid w:val="172F064F"/>
    <w:rsid w:val="187506BA"/>
    <w:rsid w:val="197C2BE7"/>
    <w:rsid w:val="1A522B89"/>
    <w:rsid w:val="1B186F08"/>
    <w:rsid w:val="1B4548E5"/>
    <w:rsid w:val="1B611B78"/>
    <w:rsid w:val="1C496E68"/>
    <w:rsid w:val="1E5328CF"/>
    <w:rsid w:val="1E804225"/>
    <w:rsid w:val="1FE650A4"/>
    <w:rsid w:val="24521E21"/>
    <w:rsid w:val="248C70E1"/>
    <w:rsid w:val="255B0A6C"/>
    <w:rsid w:val="25CA2217"/>
    <w:rsid w:val="2684170D"/>
    <w:rsid w:val="27765E26"/>
    <w:rsid w:val="28BD6C52"/>
    <w:rsid w:val="28F53B0A"/>
    <w:rsid w:val="292E4438"/>
    <w:rsid w:val="2A573CED"/>
    <w:rsid w:val="2B013D5E"/>
    <w:rsid w:val="2EE43FBD"/>
    <w:rsid w:val="2F313EA5"/>
    <w:rsid w:val="2F964344"/>
    <w:rsid w:val="301306B6"/>
    <w:rsid w:val="3038011D"/>
    <w:rsid w:val="32BF68D3"/>
    <w:rsid w:val="33791178"/>
    <w:rsid w:val="35FF348B"/>
    <w:rsid w:val="36BB77AC"/>
    <w:rsid w:val="370A748A"/>
    <w:rsid w:val="37B46665"/>
    <w:rsid w:val="39DC063B"/>
    <w:rsid w:val="39EB149A"/>
    <w:rsid w:val="3A7307C3"/>
    <w:rsid w:val="3ADE5D64"/>
    <w:rsid w:val="3C277297"/>
    <w:rsid w:val="3D412C1B"/>
    <w:rsid w:val="3D48217D"/>
    <w:rsid w:val="3DAE5EC2"/>
    <w:rsid w:val="41004C87"/>
    <w:rsid w:val="41313092"/>
    <w:rsid w:val="43651E69"/>
    <w:rsid w:val="4650258A"/>
    <w:rsid w:val="467F5D55"/>
    <w:rsid w:val="49D560A6"/>
    <w:rsid w:val="4BDA4326"/>
    <w:rsid w:val="4C115F9A"/>
    <w:rsid w:val="4C7C4D1F"/>
    <w:rsid w:val="4C83051A"/>
    <w:rsid w:val="4CA45C4B"/>
    <w:rsid w:val="4D573E80"/>
    <w:rsid w:val="4D8971C2"/>
    <w:rsid w:val="4F8B1BBF"/>
    <w:rsid w:val="4FEC63D6"/>
    <w:rsid w:val="502C6496"/>
    <w:rsid w:val="505A541A"/>
    <w:rsid w:val="50722FFD"/>
    <w:rsid w:val="51361FFF"/>
    <w:rsid w:val="51D51818"/>
    <w:rsid w:val="54686E73"/>
    <w:rsid w:val="549956F3"/>
    <w:rsid w:val="54FF414D"/>
    <w:rsid w:val="57CA1801"/>
    <w:rsid w:val="584603FF"/>
    <w:rsid w:val="59EB588A"/>
    <w:rsid w:val="5A8E2709"/>
    <w:rsid w:val="5B0867BA"/>
    <w:rsid w:val="5D800EE1"/>
    <w:rsid w:val="5DBE13B2"/>
    <w:rsid w:val="5DE03A1E"/>
    <w:rsid w:val="5E1431BE"/>
    <w:rsid w:val="5EA573A1"/>
    <w:rsid w:val="5F940E89"/>
    <w:rsid w:val="62DB5F39"/>
    <w:rsid w:val="634B7B8C"/>
    <w:rsid w:val="65103FEC"/>
    <w:rsid w:val="66B2453A"/>
    <w:rsid w:val="672C4DF9"/>
    <w:rsid w:val="684C3F3E"/>
    <w:rsid w:val="6888502B"/>
    <w:rsid w:val="68C573A4"/>
    <w:rsid w:val="696C260A"/>
    <w:rsid w:val="69E44CD3"/>
    <w:rsid w:val="6A0E48A6"/>
    <w:rsid w:val="6A8D2838"/>
    <w:rsid w:val="6AC4156C"/>
    <w:rsid w:val="6B42560D"/>
    <w:rsid w:val="6CA84261"/>
    <w:rsid w:val="6DAF0D17"/>
    <w:rsid w:val="717A3C8B"/>
    <w:rsid w:val="736C5D42"/>
    <w:rsid w:val="746076A2"/>
    <w:rsid w:val="747B60BC"/>
    <w:rsid w:val="747F6852"/>
    <w:rsid w:val="74905ACD"/>
    <w:rsid w:val="74F00593"/>
    <w:rsid w:val="78372035"/>
    <w:rsid w:val="795952F6"/>
    <w:rsid w:val="79CB512B"/>
    <w:rsid w:val="7D095BBB"/>
    <w:rsid w:val="7D3C417E"/>
    <w:rsid w:val="7DDB2057"/>
    <w:rsid w:val="7DE71E07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1025" w:lineRule="exact"/>
      <w:ind w:left="128"/>
      <w:outlineLvl w:val="0"/>
    </w:pPr>
    <w:rPr>
      <w:sz w:val="59"/>
      <w:szCs w:val="59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6">
    <w:name w:val="Default Paragraph Font"/>
    <w:autoRedefine/>
    <w:qFormat/>
    <w:uiPriority w:val="1"/>
  </w:style>
  <w:style w:type="table" w:default="1" w:styleId="1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宋体"/>
      <w:kern w:val="2"/>
      <w:sz w:val="24"/>
      <w:szCs w:val="24"/>
      <w:lang w:val="en-US" w:eastAsia="zh-CN" w:bidi="ar-SA"/>
    </w:r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1">
    <w:name w:val="HTML Preformatted"/>
    <w:basedOn w:val="1"/>
    <w:next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Body Text First Indent"/>
    <w:basedOn w:val="7"/>
    <w:qFormat/>
    <w:uiPriority w:val="0"/>
    <w:pPr>
      <w:ind w:firstLine="200" w:firstLineChars="200"/>
    </w:pPr>
    <w:rPr>
      <w:rFonts w:ascii="宋体" w:hAnsi="宋体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样式 10 磅311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标4"/>
    <w:basedOn w:val="20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0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1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正文样式"/>
    <w:autoRedefine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bidi="ar-SA"/>
    </w:rPr>
  </w:style>
  <w:style w:type="paragraph" w:customStyle="1" w:styleId="24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25">
    <w:name w:val="font31"/>
    <w:basedOn w:val="16"/>
    <w:autoRedefine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6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1809</Words>
  <Characters>1893</Characters>
  <Paragraphs>103</Paragraphs>
  <TotalTime>0</TotalTime>
  <ScaleCrop>false</ScaleCrop>
  <LinksUpToDate>false</LinksUpToDate>
  <CharactersWithSpaces>1979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2022-08-02T02:27:00Z</dcterms:created>
  <dc:creator>Administrator</dc:creator>
  <cp:lastModifiedBy>Jennifer</cp:lastModifiedBy>
  <dcterms:modified xsi:type="dcterms:W3CDTF">2024-12-02T08:01:06Z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5D64CC209671497FB5C8249C846BC111_13</vt:lpwstr>
  </property>
</Properties>
</file>