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山东城市服务职业学院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创建节水型高校智能化水表采购项目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询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价公告</w:t>
      </w:r>
    </w:p>
    <w:p>
      <w:pPr>
        <w:pStyle w:val="4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default" w:ascii="楷体" w:hAnsi="楷体" w:eastAsia="楷体" w:cs="楷体"/>
          <w:b w:val="0"/>
          <w:sz w:val="32"/>
          <w:szCs w:val="32"/>
          <w:highlight w:val="none"/>
          <w:shd w:val="clear" w:color="auto" w:fill="FFFFFF"/>
        </w:rPr>
      </w:pPr>
      <w:r>
        <w:rPr>
          <w:rFonts w:ascii="楷体" w:hAnsi="楷体" w:eastAsia="楷体" w:cs="楷体"/>
          <w:b w:val="0"/>
          <w:sz w:val="32"/>
          <w:szCs w:val="32"/>
          <w:highlight w:val="none"/>
        </w:rPr>
        <w:t>一、 采购内容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山东城市服务职业学院创建节水型高校智能化水表采购项目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二、投标人资格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（1）须为在中国境内注册，具有独立承担民事责任能力的法人或其他组织或自然人；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（2）参加采购活动前3年内在经营活动中没有重大违法记录的书面声明（供应商自拟格式承诺）；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（4）具有履行合同所必需的设备和专业技术能力；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（5）无不良信用信息记录（供应商自拟格式承诺）；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（6）本项目不接受联合体参加。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8月15日9时00分—9时30分，到山东城市服务职业学院（山东省烟台市高新区科创西路60号）资产管理处（图信楼233办公室）提交报价文件。联系人和联系电话：丛老师，2246687。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供货范围明细表、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服务承诺（包括优惠条件承诺）、联系人及联系方式、投标人资格要求等。上述资料装订成册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需提供纸质版文件2份、电子扫描件1份）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，自行密封并在封面加盖单位公章，否则视为无效投标。所交资料因存档需要，采购人不予返还。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报价为完成清单范围内全部内容的总价，包括材料费、运输费、人工费、利润、税金等所有费用，且综合考虑市场、政策等因素引起的原材料价格上涨等不确定风险。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采购人不组织统一考察现场，无论供应商对现场考察与否，都将被视为熟悉该项目的一切情况，并承担一切与报价有关的风险、责任和义务。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山东城市服务职业学院创建节水型高校智能化水表采购项目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楷体" w:hAnsi="楷体" w:eastAsia="楷体" w:cs="楷体"/>
          <w:sz w:val="32"/>
          <w:szCs w:val="32"/>
          <w:highlight w:val="none"/>
        </w:rPr>
      </w:pP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楷体" w:hAnsi="楷体" w:eastAsia="楷体" w:cs="楷体"/>
          <w:sz w:val="32"/>
          <w:szCs w:val="32"/>
          <w:highlight w:val="none"/>
        </w:rPr>
      </w:pP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五、控制价及付款方式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本项目总控制价为人民币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91000.00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元。本项目无预付款，经采购人验收合格后，一次性无息支付全部合同价款。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报价单</w:t>
      </w:r>
    </w:p>
    <w:p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00" w:firstLineChars="5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2.供货范围明细表</w:t>
      </w:r>
    </w:p>
    <w:p>
      <w:pPr>
        <w:pStyle w:val="1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00" w:firstLineChars="5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3.相关要求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</w:t>
      </w:r>
    </w:p>
    <w:p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bookmarkStart w:id="0" w:name="_GoBack"/>
      <w:bookmarkEnd w:id="0"/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附件1：报价单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山东城市服务职业学院创建节水型高校智能化水表采购项目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中的报价为人民币_________________，大写_________________。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hAnsi="宋体" w:eastAsia="仿宋_GB2312" w:cs="宋体"/>
          <w:bCs/>
          <w:sz w:val="32"/>
          <w:szCs w:val="32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both"/>
        <w:rPr>
          <w:sz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</w:t>
      </w:r>
      <w:r>
        <w:rPr>
          <w:rFonts w:hint="eastAsia"/>
          <w:sz w:val="32"/>
          <w:szCs w:val="32"/>
          <w:highlight w:val="none"/>
          <w:lang w:eastAsia="zh-CN"/>
        </w:rPr>
        <w:t>2024年</w:t>
      </w:r>
      <w:r>
        <w:rPr>
          <w:rFonts w:hint="eastAsia"/>
          <w:sz w:val="32"/>
          <w:szCs w:val="32"/>
          <w:highlight w:val="none"/>
        </w:rPr>
        <w:t xml:space="preserve">  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left"/>
        <w:rPr>
          <w:b/>
          <w:bCs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附件2：供货范围明细表</w:t>
      </w:r>
    </w:p>
    <w:tbl>
      <w:tblPr>
        <w:tblStyle w:val="13"/>
        <w:tblW w:w="87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60"/>
        <w:gridCol w:w="816"/>
        <w:gridCol w:w="4236"/>
        <w:gridCol w:w="672"/>
        <w:gridCol w:w="660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5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参数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学府楼东水井、南水井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DN100水表</w:t>
            </w:r>
          </w:p>
        </w:tc>
        <w:tc>
          <w:tcPr>
            <w:tcW w:w="4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采用标准:JJG-162-2009和Q/HBJL0010-2018IC卡冷水水表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B.最大允许误差:在从包括最小流量(qmin)在内到不包括分界流量(qt)的低区中的最大允许误差为士5%，在从包括分界流量(qt)在内到包括过载流量(gs)的高区中的最大允许误差为士2%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C.工作压力 不大于1.6MPa.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D.CPU供电电压3.6锂电池。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E.流量参数:以国标为准，公称流量下压力损失不大于0.063MPa.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规格：L:约377mm；B:约220mm；H:约447mm；法兰外径220mm,螺栓中心圆直径180mm,连接螺栓8*M16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女生公寓5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DN100水表</w:t>
            </w:r>
          </w:p>
        </w:tc>
        <w:tc>
          <w:tcPr>
            <w:tcW w:w="4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学府楼北水井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4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采用标准:JJG-162-2009和Q/HBJL0010-2018IC卡冷水水表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B.最大允许误差:在从包括最小流量(qmin)在内到不包括分界流量(qt)的低区中的最大允许误差为士5%，在从包括分界流量(qt)在内到包括过载流量(gs)的高区中的最大允许误差为士2%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C.工作压力 不大于1.6MPa.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D.CPU供电电压3.6锂电池。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E.流量参数:以国标为准，公称流量下压力损失不大于0.063MPa.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规格：L:约380mm；B:约165mm；H:约395mm；法兰外径165mm,螺栓中心圆直径125mm,连接螺栓4*M16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1号公寓西北水井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4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2号公寓西北水井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4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3号公寓西北水井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DN50水表</w:t>
            </w:r>
          </w:p>
        </w:tc>
        <w:tc>
          <w:tcPr>
            <w:tcW w:w="4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图信楼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DN80水表</w:t>
            </w:r>
          </w:p>
        </w:tc>
        <w:tc>
          <w:tcPr>
            <w:tcW w:w="4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采用标准:JJG-162-2009和Q/HBJL0010-2018IC卡冷水水表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B.最大允许误差:在从包括最小流量(qmin)在内到不包括分界流量(qt)的低区中的最大允许误差为士5%，在从包括分界流量(qt)在内到包括过载流量(gs)的高区中的最大允许误差为士2%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C.工作压力 不大于1.6MPa.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D.CPU供电电压3.6锂电池。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E.流量参数:以国标为准，公称流量下压力损失不大于0.063MPa.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规格：L:约338mm；B:约200mm；H:约432mm；法兰外径200mm,螺栓中心圆直径160mm,连接螺栓8*M16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鸿达楼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DN80水表</w:t>
            </w:r>
          </w:p>
        </w:tc>
        <w:tc>
          <w:tcPr>
            <w:tcW w:w="4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博雅楼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DN80水表</w:t>
            </w:r>
          </w:p>
        </w:tc>
        <w:tc>
          <w:tcPr>
            <w:tcW w:w="42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PLC控制器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1.实时查看各水表当前状态；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2.可自行设定时间，定时收集各水表数据，并进行记录；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3.支持多达千条历史数据查询；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4.实时查看各水表控制阀门状态；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5.远程控制阀门开启或者关闭；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墙面触摸显示屏幕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1.10寸高清液晶显示屏幕；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2.可通过屏幕查询实时、历史数据；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3.通过屏幕可对水阀进行开启或者关闭；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4.通过屏幕可主动收集水表数据；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系统平台扩展软件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1.支持联网功能；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2.通过电脑网页端登录可实现对实时、历史数据的查询；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3.实时查看各水表控制阀门状态；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4.远程控制阀门开启或者关闭；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合计：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18"/>
          <w:szCs w:val="18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276225</wp:posOffset>
            </wp:positionV>
            <wp:extent cx="3347085" cy="2091055"/>
            <wp:effectExtent l="0" t="0" r="5715" b="12065"/>
            <wp:wrapNone/>
            <wp:docPr id="1" name="图片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_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18"/>
          <w:szCs w:val="18"/>
          <w:u w:val="none"/>
          <w:bdr w:val="single" w:color="000000" w:sz="4" w:space="0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1878965</wp:posOffset>
            </wp:positionV>
            <wp:extent cx="3277235" cy="2286000"/>
            <wp:effectExtent l="0" t="0" r="14605" b="0"/>
            <wp:wrapNone/>
            <wp:docPr id="4" name="图片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_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right="0"/>
        <w:rPr>
          <w:rFonts w:hint="default" w:ascii="仿宋" w:hAnsi="仿宋" w:eastAsia="仿宋" w:cs="仿宋"/>
          <w:b/>
          <w:bCs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相关要求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1.供货期限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：自接到采购人通知之日起15日内供货安装调试完毕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2.质保期限：自验收合格之日起1年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3BB8053-258A-476C-8A9C-1CDF0B7DBDF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82A674-9EAF-4C92-8373-6E0EB46E45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066075-DCF4-44AB-82A7-A3994940A6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59D8F"/>
    <w:multiLevelType w:val="singleLevel"/>
    <w:tmpl w:val="CA559D8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6527A00"/>
    <w:multiLevelType w:val="singleLevel"/>
    <w:tmpl w:val="F6527A0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0F3F1F05"/>
    <w:multiLevelType w:val="singleLevel"/>
    <w:tmpl w:val="0F3F1F05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9D3016"/>
    <w:rsid w:val="0E770F85"/>
    <w:rsid w:val="143218EA"/>
    <w:rsid w:val="172F064F"/>
    <w:rsid w:val="1B186F08"/>
    <w:rsid w:val="1B611B78"/>
    <w:rsid w:val="1E804225"/>
    <w:rsid w:val="255B0A6C"/>
    <w:rsid w:val="2684170D"/>
    <w:rsid w:val="28F53B0A"/>
    <w:rsid w:val="292E4438"/>
    <w:rsid w:val="2A573CED"/>
    <w:rsid w:val="2B013D5E"/>
    <w:rsid w:val="2F313EA5"/>
    <w:rsid w:val="301306B6"/>
    <w:rsid w:val="3038011D"/>
    <w:rsid w:val="35FF348B"/>
    <w:rsid w:val="370A748A"/>
    <w:rsid w:val="39EB149A"/>
    <w:rsid w:val="3A7307C3"/>
    <w:rsid w:val="3ADE5D64"/>
    <w:rsid w:val="3C277297"/>
    <w:rsid w:val="40517B03"/>
    <w:rsid w:val="4650258A"/>
    <w:rsid w:val="467F5D55"/>
    <w:rsid w:val="4BDA4326"/>
    <w:rsid w:val="4C83051A"/>
    <w:rsid w:val="502C6496"/>
    <w:rsid w:val="505A541A"/>
    <w:rsid w:val="51D51818"/>
    <w:rsid w:val="5EA573A1"/>
    <w:rsid w:val="5F940E89"/>
    <w:rsid w:val="672C4DF9"/>
    <w:rsid w:val="67A03A77"/>
    <w:rsid w:val="684C3F3E"/>
    <w:rsid w:val="69565E64"/>
    <w:rsid w:val="696C260A"/>
    <w:rsid w:val="6B42560D"/>
    <w:rsid w:val="6CA84261"/>
    <w:rsid w:val="6DAF0D17"/>
    <w:rsid w:val="747F6852"/>
    <w:rsid w:val="78372035"/>
    <w:rsid w:val="795952F6"/>
    <w:rsid w:val="7D095BBB"/>
    <w:rsid w:val="7D3C417E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5">
    <w:name w:val="Default Paragraph Font"/>
    <w:autoRedefine/>
    <w:qFormat/>
    <w:uiPriority w:val="1"/>
  </w:style>
  <w:style w:type="table" w:default="1" w:styleId="1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4"/>
    <w:basedOn w:val="18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8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9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bidi="ar-SA"/>
    </w:rPr>
  </w:style>
  <w:style w:type="paragraph" w:customStyle="1" w:styleId="22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3">
    <w:name w:val="font31"/>
    <w:basedOn w:val="15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4893</Words>
  <Characters>6294</Characters>
  <Paragraphs>103</Paragraphs>
  <TotalTime>1</TotalTime>
  <ScaleCrop>false</ScaleCrop>
  <LinksUpToDate>false</LinksUpToDate>
  <CharactersWithSpaces>6577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follow the sun</cp:lastModifiedBy>
  <dcterms:modified xsi:type="dcterms:W3CDTF">2024-08-09T03:27:24Z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EC6DD04E585D44B0A1045699A36DD114_13</vt:lpwstr>
  </property>
</Properties>
</file>