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5000" w:type="pct"/>
        <w:tblCellSpacing w:w="0" w:type="dxa"/>
        <w:tblInd w:w="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45" w:type="dxa"/>
          <w:left w:w="45" w:type="dxa"/>
          <w:bottom w:w="45" w:type="dxa"/>
          <w:right w:w="45" w:type="dxa"/>
        </w:tblCellMar>
      </w:tblPr>
      <w:tblGrid>
        <w:gridCol w:w="89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45" w:type="dxa"/>
            <w:left w:w="45" w:type="dxa"/>
            <w:bottom w:w="45" w:type="dxa"/>
            <w:right w:w="45" w:type="dxa"/>
          </w:tblCellMar>
        </w:tblPrEx>
        <w:trPr>
          <w:trHeight w:val="840" w:hRule="atLeast"/>
          <w:tblCellSpacing w:w="0" w:type="dxa"/>
        </w:trPr>
        <w:tc>
          <w:tcPr>
            <w:tcW w:w="0" w:type="auto"/>
            <w:shd w:val="clear" w:color="auto" w:fill="auto"/>
            <w:tcMar>
              <w:top w:w="60" w:type="dxa"/>
            </w:tcMar>
            <w:vAlign w:val="center"/>
          </w:tcPr>
          <w:p>
            <w:pPr>
              <w:keepNext w:val="0"/>
              <w:keepLines w:val="0"/>
              <w:pageBreakBefore w:val="0"/>
              <w:widowControl/>
              <w:suppressLineNumbers w:val="0"/>
              <w:kinsoku/>
              <w:wordWrap/>
              <w:overflowPunct/>
              <w:topLinePunct w:val="0"/>
              <w:autoSpaceDE/>
              <w:autoSpaceDN/>
              <w:bidi w:val="0"/>
              <w:adjustRightInd/>
              <w:snapToGrid w:val="0"/>
              <w:spacing w:line="579" w:lineRule="exact"/>
              <w:jc w:val="center"/>
              <w:textAlignment w:val="auto"/>
              <w:rPr>
                <w:rFonts w:ascii="微软雅黑" w:hAnsi="微软雅黑" w:eastAsia="微软雅黑" w:cs="微软雅黑"/>
                <w:b/>
                <w:bCs/>
                <w:i w:val="0"/>
                <w:iCs w:val="0"/>
                <w:caps w:val="0"/>
                <w:color w:val="080972"/>
                <w:spacing w:val="0"/>
                <w:sz w:val="24"/>
                <w:szCs w:val="24"/>
              </w:rPr>
            </w:pPr>
            <w:r>
              <w:rPr>
                <w:rFonts w:hint="eastAsia" w:ascii="方正小标宋简体" w:hAnsi="方正小标宋简体" w:eastAsia="方正小标宋简体" w:cs="方正小标宋简体"/>
                <w:sz w:val="44"/>
                <w:szCs w:val="44"/>
                <w:lang w:val="en-US" w:eastAsia="zh-CN"/>
              </w:rPr>
              <w:t>关于组织申报2024年度全国教育科学规划专项的通知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45" w:type="dxa"/>
            <w:left w:w="45" w:type="dxa"/>
            <w:bottom w:w="45" w:type="dxa"/>
            <w:right w:w="45" w:type="dxa"/>
          </w:tblCellMar>
        </w:tblPrEx>
        <w:trPr>
          <w:tblCellSpacing w:w="0" w:type="dxa"/>
        </w:trPr>
        <w:tc>
          <w:tcPr>
            <w:tcW w:w="0" w:type="auto"/>
            <w:shd w:val="clear" w:color="auto" w:fill="auto"/>
            <w:tcMar>
              <w:top w:w="180" w:type="dxa"/>
              <w:left w:w="180" w:type="dxa"/>
              <w:bottom w:w="180" w:type="dxa"/>
              <w:right w:w="180" w:type="dxa"/>
            </w:tcMar>
            <w:vAlign w:val="center"/>
          </w:tcPr>
          <w:p>
            <w:pPr>
              <w:keepNext w:val="0"/>
              <w:keepLines w:val="0"/>
              <w:pageBreakBefore w:val="0"/>
              <w:kinsoku/>
              <w:wordWrap/>
              <w:overflowPunct/>
              <w:topLinePunct w:val="0"/>
              <w:autoSpaceDE/>
              <w:autoSpaceDN/>
              <w:bidi w:val="0"/>
              <w:adjustRightInd/>
              <w:snapToGrid w:val="0"/>
              <w:spacing w:line="579" w:lineRule="exact"/>
              <w:ind w:firstLine="640" w:firstLineChars="200"/>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鲁教规办〔2024〕7号</w:t>
            </w:r>
          </w:p>
          <w:p>
            <w:pPr>
              <w:keepNext w:val="0"/>
              <w:keepLines w:val="0"/>
              <w:pageBreakBefore w:val="0"/>
              <w:kinsoku/>
              <w:wordWrap/>
              <w:overflowPunct/>
              <w:topLinePunct w:val="0"/>
              <w:autoSpaceDE/>
              <w:autoSpaceDN/>
              <w:bidi w:val="0"/>
              <w:adjustRightInd/>
              <w:snapToGrid w:val="0"/>
              <w:spacing w:line="579" w:lineRule="exact"/>
              <w:textAlignment w:val="auto"/>
              <w:rPr>
                <w:rFonts w:hint="eastAsia"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snapToGrid w:val="0"/>
              <w:spacing w:line="579"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各高等院校科研处（社科处）：</w:t>
            </w:r>
          </w:p>
          <w:p>
            <w:pPr>
              <w:keepNext w:val="0"/>
              <w:keepLines w:val="0"/>
              <w:pageBreakBefore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2024年度全国教育科学规划课题新增“高校毕业生就业研究专项”（以下简称就业研究专项）和“教育考试研究专项”（以下简称考试研究专项）。为做好专项申报工作，现就有关事项公告如下。</w:t>
            </w:r>
          </w:p>
          <w:p>
            <w:pPr>
              <w:spacing w:line="579" w:lineRule="exact"/>
              <w:ind w:firstLine="640" w:firstLineChars="200"/>
              <w:outlineLvl w:val="0"/>
              <w:rPr>
                <w:rFonts w:hint="eastAsia" w:ascii="Arial" w:hAnsi="Arial" w:eastAsia="黑体" w:cs="Arial"/>
                <w:sz w:val="32"/>
                <w:szCs w:val="32"/>
              </w:rPr>
            </w:pPr>
            <w:r>
              <w:rPr>
                <w:rFonts w:hint="eastAsia" w:ascii="Arial" w:hAnsi="Arial" w:eastAsia="黑体" w:cs="Arial"/>
                <w:sz w:val="32"/>
                <w:szCs w:val="32"/>
              </w:rPr>
              <w:t>一、专项类别</w:t>
            </w:r>
          </w:p>
          <w:p>
            <w:pPr>
              <w:keepNext w:val="0"/>
              <w:keepLines w:val="0"/>
              <w:pageBreakBefore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就业研究专项立足高等教育人才培养与经济社会发展需求供需适配，重点资助高校毕业生就业领域的重要理论和现实问题研究，为构建高质量就业指导体系和服务高校毕业生更充分更高质量就业提供决策支撑。</w:t>
            </w:r>
          </w:p>
          <w:p>
            <w:pPr>
              <w:keepNext w:val="0"/>
              <w:keepLines w:val="0"/>
              <w:pageBreakBefore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考试研究专项面向教育强国建设需求和教育考试高质量发展需要，重点资助教育考试领域关系教育发展全局的重要理论和现实问题研究，为构建高质量教育考试评价体系和服务教育考试改革发展提供决策支撑。</w:t>
            </w:r>
          </w:p>
          <w:p>
            <w:pPr>
              <w:spacing w:line="579" w:lineRule="exact"/>
              <w:ind w:firstLine="640" w:firstLineChars="200"/>
              <w:outlineLvl w:val="0"/>
              <w:rPr>
                <w:rFonts w:hint="eastAsia" w:ascii="Arial" w:hAnsi="Arial" w:eastAsia="黑体" w:cs="Arial"/>
                <w:sz w:val="32"/>
                <w:szCs w:val="32"/>
              </w:rPr>
            </w:pPr>
            <w:r>
              <w:rPr>
                <w:rFonts w:hint="eastAsia" w:ascii="Arial" w:hAnsi="Arial" w:eastAsia="黑体" w:cs="Arial"/>
                <w:sz w:val="32"/>
                <w:szCs w:val="32"/>
              </w:rPr>
              <w:t>二、选题指南</w:t>
            </w:r>
          </w:p>
          <w:p>
            <w:pPr>
              <w:keepNext w:val="0"/>
              <w:keepLines w:val="0"/>
              <w:pageBreakBefore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报高校毕业生就业研究专项，可以从指南中选题，如确有需要，可对选题进行适当微调，但不得大幅压缩或改变研究内容；也可以自拟选题，但必须与专项研究领域密切相关。项目名称表述要科学严谨、简明规范，避免引起歧义或争议。自拟选题与按项目指南申报的选题在评审程序、评审标准、立项指标、资助强度等方面同等对待。</w:t>
            </w:r>
          </w:p>
          <w:p>
            <w:pPr>
              <w:keepNext w:val="0"/>
              <w:keepLines w:val="0"/>
              <w:pageBreakBefore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申报教育考试研究专项，须从指南中选题，重点项目的相应条目有括号标注，自拟选题不予受理。</w:t>
            </w:r>
          </w:p>
          <w:p>
            <w:pPr>
              <w:keepNext w:val="0"/>
              <w:keepLines w:val="0"/>
              <w:pageBreakBefore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专项每个选题原则上只确立1个立项项目。</w:t>
            </w:r>
          </w:p>
          <w:p>
            <w:pPr>
              <w:spacing w:line="579" w:lineRule="exact"/>
              <w:ind w:firstLine="640" w:firstLineChars="200"/>
              <w:outlineLvl w:val="0"/>
              <w:rPr>
                <w:rFonts w:hint="eastAsia" w:ascii="Arial" w:hAnsi="Arial" w:eastAsia="黑体" w:cs="Arial"/>
                <w:sz w:val="32"/>
                <w:szCs w:val="32"/>
              </w:rPr>
            </w:pPr>
            <w:r>
              <w:rPr>
                <w:rFonts w:hint="eastAsia" w:ascii="Arial" w:hAnsi="Arial" w:eastAsia="黑体" w:cs="Arial"/>
                <w:sz w:val="32"/>
                <w:szCs w:val="32"/>
              </w:rPr>
              <w:t>三、资助额度</w:t>
            </w:r>
          </w:p>
          <w:p>
            <w:pPr>
              <w:keepNext w:val="0"/>
              <w:keepLines w:val="0"/>
              <w:pageBreakBefore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就业研究专项教育部重点项目每项资助10万元，教育部青年每项资助5万元。</w:t>
            </w:r>
          </w:p>
          <w:p>
            <w:pPr>
              <w:keepNext w:val="0"/>
              <w:keepLines w:val="0"/>
              <w:pageBreakBefore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考试研究专项教育部重点项目每项资助35万元，一般项目每项20万元，培育项目每项资助10万元。</w:t>
            </w:r>
          </w:p>
          <w:p>
            <w:pPr>
              <w:spacing w:line="579" w:lineRule="exact"/>
              <w:ind w:firstLine="640" w:firstLineChars="200"/>
              <w:outlineLvl w:val="0"/>
              <w:rPr>
                <w:rFonts w:hint="eastAsia" w:ascii="Arial" w:hAnsi="Arial" w:eastAsia="黑体" w:cs="Arial"/>
                <w:sz w:val="32"/>
                <w:szCs w:val="32"/>
              </w:rPr>
            </w:pPr>
            <w:r>
              <w:rPr>
                <w:rFonts w:hint="eastAsia" w:ascii="Arial" w:hAnsi="Arial" w:eastAsia="黑体" w:cs="Arial"/>
                <w:sz w:val="32"/>
                <w:szCs w:val="32"/>
              </w:rPr>
              <w:t>四、申报条件</w:t>
            </w:r>
          </w:p>
          <w:p>
            <w:pPr>
              <w:keepNext w:val="0"/>
              <w:keepLines w:val="0"/>
              <w:pageBreakBefore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（一）项目申请人须具备下列条件</w:t>
            </w:r>
          </w:p>
          <w:p>
            <w:pPr>
              <w:keepNext w:val="0"/>
              <w:keepLines w:val="0"/>
              <w:pageBreakBefore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1.申请人须遵守中华人民共和国宪法和法律，坚持正确的政治方向、价值取向和研究导向，遵守全国教育科学规划有关管理规定。</w:t>
            </w:r>
          </w:p>
          <w:p>
            <w:pPr>
              <w:keepNext w:val="0"/>
              <w:keepLines w:val="0"/>
              <w:pageBreakBefore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2.专项主要面向高等院校，部委直属单位，省级以上研究机构、党校（行政学院）等机构的研究人员申报。</w:t>
            </w:r>
          </w:p>
          <w:p>
            <w:pPr>
              <w:keepNext w:val="0"/>
              <w:keepLines w:val="0"/>
              <w:pageBreakBefore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就业研究专项申请教育部重点，需具有副高级以上（含）专业技术职称或者具有博士学位。申请青年项目，男性申请人年龄不超过35周岁（1989年6月20日后出生），女性申请人年龄不超过40周岁（1984年6月20日后出生）。</w:t>
            </w:r>
          </w:p>
          <w:p>
            <w:pPr>
              <w:keepNext w:val="0"/>
              <w:keepLines w:val="0"/>
              <w:pageBreakBefore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考试研究专项申请教育部重点、一般和培育项目，需具有副高级以上（含）专业技术职称或者具有博士学位。</w:t>
            </w:r>
          </w:p>
          <w:p>
            <w:pPr>
              <w:keepNext w:val="0"/>
              <w:keepLines w:val="0"/>
              <w:pageBreakBefore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bookmarkStart w:id="0" w:name="_GoBack"/>
            <w:bookmarkEnd w:id="0"/>
            <w:r>
              <w:rPr>
                <w:rFonts w:hint="eastAsia" w:ascii="仿宋_GB2312" w:hAnsi="仿宋_GB2312" w:eastAsia="仿宋_GB2312" w:cs="仿宋_GB2312"/>
                <w:sz w:val="32"/>
                <w:szCs w:val="32"/>
              </w:rPr>
              <w:t>4.在研的国家社科基金、国家自然科学基金、全国教育科学规划、教育部人文社会科学研究项目及其他国家级科研项目（以上统称国家级科研项目）负责人不得申请专项。同年度申报2024年度国家级科研项目的负责人不得申请专项、项目组成员不得以相同或相近选题申请专项。</w:t>
            </w:r>
          </w:p>
          <w:p>
            <w:pPr>
              <w:keepNext w:val="0"/>
              <w:keepLines w:val="0"/>
              <w:pageBreakBefore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凡以博士学位论文或博士后出站报告为基础申报本次研究专项，须在《全国教育科学规划项目申请书》（以下简称《申请书》）中，注明所申请项目与学位论文（出站报告）的联系和区别，申请鉴定结项时须提交学位论文（出站报告）原件。不得以已出版的内容基本相同的研究成果申请本次研究专项。</w:t>
            </w:r>
          </w:p>
          <w:p>
            <w:pPr>
              <w:keepNext w:val="0"/>
              <w:keepLines w:val="0"/>
              <w:pageBreakBefore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（二）项目申请人所在单位须具备下列条件</w:t>
            </w:r>
          </w:p>
          <w:p>
            <w:pPr>
              <w:keepNext w:val="0"/>
              <w:keepLines w:val="0"/>
              <w:pageBreakBefore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1.在相关领域具有较强的师资队伍、科研力量和扎实的学术积累。</w:t>
            </w:r>
          </w:p>
          <w:p>
            <w:pPr>
              <w:keepNext w:val="0"/>
              <w:keepLines w:val="0"/>
              <w:pageBreakBefore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2.设有专门负责科研管理工作的职能部门。</w:t>
            </w:r>
          </w:p>
          <w:p>
            <w:pPr>
              <w:keepNext w:val="0"/>
              <w:keepLines w:val="0"/>
              <w:pageBreakBefore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3.能够为开展研究工作提供必要条件,并承诺信誉保证。</w:t>
            </w:r>
          </w:p>
          <w:p>
            <w:pPr>
              <w:spacing w:line="579" w:lineRule="exact"/>
              <w:ind w:firstLine="640" w:firstLineChars="200"/>
              <w:outlineLvl w:val="0"/>
              <w:rPr>
                <w:rFonts w:hint="eastAsia" w:ascii="Arial" w:hAnsi="Arial" w:eastAsia="黑体" w:cs="Arial"/>
                <w:sz w:val="32"/>
                <w:szCs w:val="32"/>
              </w:rPr>
            </w:pPr>
            <w:r>
              <w:rPr>
                <w:rFonts w:hint="eastAsia" w:ascii="Arial" w:hAnsi="Arial" w:eastAsia="黑体" w:cs="Arial"/>
                <w:sz w:val="32"/>
                <w:szCs w:val="32"/>
              </w:rPr>
              <w:t>五、申报要求</w:t>
            </w:r>
          </w:p>
          <w:p>
            <w:pPr>
              <w:keepNext w:val="0"/>
              <w:keepLines w:val="0"/>
              <w:pageBreakBefore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1.本年度专项申报不限额。各申请单位要着力提高申报质量，宁缺毋滥。</w:t>
            </w:r>
          </w:p>
          <w:p>
            <w:pPr>
              <w:keepNext w:val="0"/>
              <w:keepLines w:val="0"/>
              <w:pageBreakBefore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就业研究专项研究年限为1—2年。研究成果要求提交决策咨询报告和研究报告。其中研究年限为2年的应用研究，要求决策咨询报告被《全国教育科学规划课题成果要报》刊发、或被省部级及以上领导肯定性批示、或被省部级及以上党政机关编发、采纳；研究期限为2年的基础理论研究，需至少发表1篇核心期刊（或SCI、SSCI、A&amp;HCI）论文。</w:t>
            </w:r>
          </w:p>
          <w:p>
            <w:pPr>
              <w:keepNext w:val="0"/>
              <w:keepLines w:val="0"/>
              <w:pageBreakBefore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考试研究专项的研究年限为2—3年。研究成果要求提交1—2篇决策咨询报告，以及与资助金额相匹配的一定数量和级别的学术期刊论文或学术著作。决策咨询报告要求同上。</w:t>
            </w:r>
          </w:p>
          <w:p>
            <w:pPr>
              <w:keepNext w:val="0"/>
              <w:keepLines w:val="0"/>
              <w:pageBreakBefore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3.申请人应按照《全国教育科学规划管理办法》和《全国教育科学规划课题资金管理办法》（详见全国教育科学规划领导小组办公室网站）的要求，根据实际需要编制科学合理的经费预算。</w:t>
            </w:r>
          </w:p>
          <w:p>
            <w:pPr>
              <w:keepNext w:val="0"/>
              <w:keepLines w:val="0"/>
              <w:pageBreakBefore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申报项目须按照《申请书》和《项目论证活页》要求，如实填写材料，保证没有知识产权争议，不得有违背科研诚信要求的行为。凡存在弄虚作假、抄袭剽窃等行为的，一经发现查实，取消五年申报资格。如获立项即予撤项并通报批评，列入不良科研信用记录，并责成所在单位按有关规定处理。</w:t>
            </w:r>
          </w:p>
          <w:p>
            <w:pPr>
              <w:keepNext w:val="0"/>
              <w:keepLines w:val="0"/>
              <w:pageBreakBefore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项目负责人在项目执行期间要遵守相关承诺，履行约定义务，按期完成研究任务，申报时承诺的预期研究成果为项目结项时必须达到的要件，不得擅自变更。获准立项的《申请书》视为具有约束力的资助合同文本。最终成果实行通讯鉴定，鉴定等级予以公布。</w:t>
            </w:r>
          </w:p>
          <w:p>
            <w:pPr>
              <w:spacing w:line="579" w:lineRule="exact"/>
              <w:ind w:firstLine="640" w:firstLineChars="200"/>
              <w:outlineLvl w:val="0"/>
              <w:rPr>
                <w:rFonts w:hint="eastAsia" w:ascii="Arial" w:hAnsi="Arial" w:eastAsia="黑体" w:cs="Arial"/>
                <w:sz w:val="32"/>
                <w:szCs w:val="32"/>
              </w:rPr>
            </w:pPr>
            <w:r>
              <w:rPr>
                <w:rFonts w:hint="eastAsia" w:ascii="Arial" w:hAnsi="Arial" w:eastAsia="黑体" w:cs="Arial"/>
                <w:sz w:val="32"/>
                <w:szCs w:val="32"/>
              </w:rPr>
              <w:t>六、工作安排</w:t>
            </w:r>
          </w:p>
          <w:p>
            <w:pPr>
              <w:keepNext w:val="0"/>
              <w:keepLines w:val="0"/>
              <w:pageBreakBefore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本次专项实行网络申报。“全国教育科学规划管理平台”（</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"https://202.205.185.227/"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https://202.205.185.227/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以下简称平台）中的“项目申报系统”为本次申报的唯一网络平台。网络申报办法及流程管理以该系统为准。项目申报材料可从全规办平台或山东省教育科学研究院网站下载。省教育科学规划领导小组办公室（以下简称全规办）不直接受理个人申报。</w:t>
            </w:r>
          </w:p>
          <w:p>
            <w:pPr>
              <w:keepNext w:val="0"/>
              <w:keepLines w:val="0"/>
              <w:pageBreakBefore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申报时间安排。申报系统于5月21日至6月20日17时开放。在此期间申请人可登录平台，填写并导出《申请书》，签字并加盖单位公章后，全文扫描在一个PDF文档中，与PDF版本的《活页》一起提交到平台上。要确保线上线下《申请书》和《活页》内容完全一致。逾期系统自动关闭，不再受理申报（由省级教育规划办管理的单位需在此段时间内同步完成审核提交）。</w:t>
            </w:r>
          </w:p>
          <w:p>
            <w:pPr>
              <w:keepNext w:val="0"/>
              <w:keepLines w:val="0"/>
              <w:pageBreakBefore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（二）审核时间安排。省教育科学规划办将在2024年6月25日18时前完成审核。审核期间可以退回修改提交但不能新增申报。请严格按照以上时间要求审核、报送材料，逾期不予受理。</w:t>
            </w:r>
          </w:p>
          <w:p>
            <w:pPr>
              <w:keepNext w:val="0"/>
              <w:keepLines w:val="0"/>
              <w:pageBreakBefore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报送纸质材料时间安排。申报所有类别项目的《申请书》、《活页》和《申报数据汇总表》均无需寄送纸质版。在平台上提交给全规办的所有材料均视为经过各级单位审核同意的文本。待立项公布后，各管理单位在平台上下载所属立项项目的《申请书》（不需要《活页》），每个项目打印1份，加盖公章后统一寄送至山东省教育科学规划办。请严格按照以上时间要求报送材料，逾期不予受理。</w:t>
            </w:r>
          </w:p>
          <w:p>
            <w:pPr>
              <w:keepNext w:val="0"/>
              <w:keepLines w:val="0"/>
              <w:pageBreakBefore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邮寄地址：山东省济南市土屋路3-1号 山东省教育科学规划领导小组办公室414-2；</w:t>
            </w:r>
          </w:p>
          <w:p>
            <w:pPr>
              <w:keepNext w:val="0"/>
              <w:keepLines w:val="0"/>
              <w:pageBreakBefore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省教育科学规划办电话：0531-55630236；</w:t>
            </w:r>
          </w:p>
          <w:p>
            <w:pPr>
              <w:keepNext w:val="0"/>
              <w:keepLines w:val="0"/>
              <w:pageBreakBefore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省教育科学规划办电子信箱：sdjyghb2023@126.com；</w:t>
            </w:r>
          </w:p>
          <w:p>
            <w:pPr>
              <w:keepNext w:val="0"/>
              <w:keepLines w:val="0"/>
              <w:pageBreakBefore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全规办咨询电话：010—62003471、62003308。</w:t>
            </w:r>
          </w:p>
          <w:p>
            <w:pPr>
              <w:keepNext w:val="0"/>
              <w:keepLines w:val="0"/>
              <w:pageBreakBefore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平台系统及技术问题请咨询400-800-1636，全规办电子信箱：</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"mailto:support@e-plugger.com%E3%80%82"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support@e-plugger.com。</w:t>
            </w:r>
            <w:r>
              <w:rPr>
                <w:rFonts w:hint="eastAsia" w:ascii="仿宋_GB2312" w:hAnsi="仿宋_GB2312" w:eastAsia="仿宋_GB2312" w:cs="仿宋_GB2312"/>
                <w:sz w:val="32"/>
                <w:szCs w:val="32"/>
              </w:rPr>
              <w:fldChar w:fldCharType="end"/>
            </w:r>
          </w:p>
          <w:p>
            <w:pPr>
              <w:keepNext w:val="0"/>
              <w:keepLines w:val="0"/>
              <w:pageBreakBefore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"https://www.sdjky.net/d/file/contents/2024/05/664e946a5ccaa.docx" \t "https://www.sdjky.net/_blank"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1.2024年度全国教育科学规划专项选题指南.docx</w:t>
            </w:r>
            <w:r>
              <w:rPr>
                <w:rFonts w:hint="eastAsia" w:ascii="仿宋_GB2312" w:hAnsi="仿宋_GB2312" w:eastAsia="仿宋_GB2312" w:cs="仿宋_GB2312"/>
                <w:sz w:val="32"/>
                <w:szCs w:val="32"/>
              </w:rPr>
              <w:fldChar w:fldCharType="end"/>
            </w:r>
          </w:p>
          <w:p>
            <w:pPr>
              <w:keepNext w:val="0"/>
              <w:keepLines w:val="0"/>
              <w:pageBreakBefore w:val="0"/>
              <w:kinsoku/>
              <w:wordWrap/>
              <w:overflowPunct/>
              <w:topLinePunct w:val="0"/>
              <w:autoSpaceDE/>
              <w:autoSpaceDN/>
              <w:bidi w:val="0"/>
              <w:adjustRightInd/>
              <w:snapToGrid w:val="0"/>
              <w:spacing w:line="579" w:lineRule="exact"/>
              <w:ind w:firstLine="1600" w:firstLineChars="5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"https://www.sdjky.net/d/file/contents/2024/05/664e9469d3f45.doc" \t "https://www.sdjky.net/_blank"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2.2024年全国教育科学规划项目（国家重点、国家一般、国家青年、教育部重点、教育部青年、专项）-申请书.doc</w:t>
            </w:r>
            <w:r>
              <w:rPr>
                <w:rFonts w:hint="eastAsia" w:ascii="仿宋_GB2312" w:hAnsi="仿宋_GB2312" w:eastAsia="仿宋_GB2312" w:cs="仿宋_GB2312"/>
                <w:sz w:val="32"/>
                <w:szCs w:val="32"/>
              </w:rPr>
              <w:fldChar w:fldCharType="end"/>
            </w:r>
          </w:p>
          <w:p>
            <w:pPr>
              <w:keepNext w:val="0"/>
              <w:keepLines w:val="0"/>
              <w:pageBreakBefore w:val="0"/>
              <w:kinsoku/>
              <w:wordWrap/>
              <w:overflowPunct/>
              <w:topLinePunct w:val="0"/>
              <w:autoSpaceDE/>
              <w:autoSpaceDN/>
              <w:bidi w:val="0"/>
              <w:adjustRightInd/>
              <w:snapToGrid w:val="0"/>
              <w:spacing w:line="579" w:lineRule="exact"/>
              <w:ind w:firstLine="1600" w:firstLineChars="5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"https://www.sdjky.net/d/file/contents/2024/05/664e9474aedbb.doc" \t "https://www.sdjky.net/_blank"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3.2024年全国教育科学规划项目（国家重点、国家一般、国家青年、教育部重点、教育部青年、专项）-活页.doc</w:t>
            </w:r>
            <w:r>
              <w:rPr>
                <w:rFonts w:hint="eastAsia" w:ascii="仿宋_GB2312" w:hAnsi="仿宋_GB2312" w:eastAsia="仿宋_GB2312" w:cs="仿宋_GB2312"/>
                <w:sz w:val="32"/>
                <w:szCs w:val="32"/>
              </w:rPr>
              <w:fldChar w:fldCharType="end"/>
            </w:r>
          </w:p>
          <w:p>
            <w:pPr>
              <w:keepNext w:val="0"/>
              <w:keepLines w:val="0"/>
              <w:pageBreakBefore w:val="0"/>
              <w:kinsoku/>
              <w:wordWrap/>
              <w:overflowPunct/>
              <w:topLinePunct w:val="0"/>
              <w:autoSpaceDE/>
              <w:autoSpaceDN/>
              <w:bidi w:val="0"/>
              <w:adjustRightInd/>
              <w:snapToGrid w:val="0"/>
              <w:spacing w:line="579" w:lineRule="exact"/>
              <w:ind w:firstLine="1280" w:firstLineChars="400"/>
              <w:textAlignment w:val="auto"/>
              <w:rPr>
                <w:rFonts w:hint="eastAsia"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snapToGrid w:val="0"/>
              <w:spacing w:line="579" w:lineRule="exact"/>
              <w:ind w:firstLine="1280" w:firstLineChars="400"/>
              <w:textAlignment w:val="auto"/>
              <w:rPr>
                <w:rFonts w:hint="eastAsia"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snapToGrid w:val="0"/>
              <w:spacing w:line="579" w:lineRule="exact"/>
              <w:ind w:firstLine="2560" w:firstLineChars="8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山东省教育科学规划领导小组办公室</w:t>
            </w:r>
          </w:p>
          <w:p>
            <w:pPr>
              <w:keepNext w:val="0"/>
              <w:keepLines w:val="0"/>
              <w:pageBreakBefore w:val="0"/>
              <w:kinsoku/>
              <w:wordWrap/>
              <w:overflowPunct/>
              <w:topLinePunct w:val="0"/>
              <w:autoSpaceDE/>
              <w:autoSpaceDN/>
              <w:bidi w:val="0"/>
              <w:adjustRightInd/>
              <w:snapToGrid w:val="0"/>
              <w:spacing w:line="579" w:lineRule="exact"/>
              <w:ind w:firstLine="4160" w:firstLineChars="13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2024年5月22日</w:t>
            </w:r>
          </w:p>
        </w:tc>
      </w:tr>
    </w:tbl>
    <w:p/>
    <w:sectPr>
      <w:pgSz w:w="11906" w:h="16838"/>
      <w:pgMar w:top="1757" w:right="1474" w:bottom="1644" w:left="1587" w:header="851" w:footer="992" w:gutter="0"/>
      <w:pgBorders w:offsetFrom="page">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F8B07A73-0C74-4BA6-9334-847C21A68B68}"/>
  </w:font>
  <w:font w:name="黑体">
    <w:panose1 w:val="02010609060101010101"/>
    <w:charset w:val="86"/>
    <w:family w:val="auto"/>
    <w:pitch w:val="default"/>
    <w:sig w:usb0="800002BF" w:usb1="38CF7CFA" w:usb2="00000016" w:usb3="00000000" w:csb0="00040001" w:csb1="00000000"/>
    <w:embedRegular r:id="rId2" w:fontKey="{D397BDE3-ED85-4FA7-BE89-B899A62B236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embedRegular r:id="rId3" w:fontKey="{A1D87076-5E7B-4E9C-9254-C216FEBA6FC1}"/>
  </w:font>
  <w:font w:name="方正小标宋简体">
    <w:panose1 w:val="02000000000000000000"/>
    <w:charset w:val="86"/>
    <w:family w:val="script"/>
    <w:pitch w:val="default"/>
    <w:sig w:usb0="00000001" w:usb1="080E0000" w:usb2="00000000" w:usb3="00000000" w:csb0="00040000" w:csb1="00000000"/>
    <w:embedRegular r:id="rId4" w:fontKey="{325AF316-905F-4ED9-A036-FDE2A4C661BF}"/>
  </w:font>
  <w:font w:name="仿宋_GB2312">
    <w:panose1 w:val="02010609030101010101"/>
    <w:charset w:val="86"/>
    <w:family w:val="modern"/>
    <w:pitch w:val="default"/>
    <w:sig w:usb0="00000001" w:usb1="080E0000" w:usb2="00000000" w:usb3="00000000" w:csb0="00040000" w:csb1="00000000"/>
    <w:embedRegular r:id="rId5" w:fontKey="{541719ED-C259-4571-86D4-5E5722662323}"/>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MwNmRhMGRjZjQ3NzBjMTQyYjYwMGYyMTEwZjg3YTIifQ=="/>
  </w:docVars>
  <w:rsids>
    <w:rsidRoot w:val="00000000"/>
    <w:rsid w:val="679D0E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2024-05-23T07:26:13Z</dcterms:created>
  <dc:creator>lenovo</dc:creator>
  <cp:lastModifiedBy>燕姐</cp:lastModifiedBy>
  <dcterms:modified xsi:type="dcterms:W3CDTF">2024-05-23T07:31:32Z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5A76F50D87484E40884B4F2228EC058C_12</vt:lpwstr>
  </property>
</Properties>
</file>